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77" w:rsidRPr="00DB613F" w:rsidRDefault="009F1277" w:rsidP="009F1277">
      <w:pPr>
        <w:pStyle w:val="Titulo1"/>
        <w:rPr>
          <w:rFonts w:cs="Times New Roman"/>
        </w:rPr>
      </w:pPr>
      <w:r w:rsidRPr="00DB613F">
        <w:rPr>
          <w:rFonts w:cs="Times New Roman"/>
        </w:rPr>
        <w:t>ACUERDO por el que se reforma y adiciona el Clasificador por Fuentes de Financiamiento.</w:t>
      </w:r>
    </w:p>
    <w:p w:rsidR="009F1277" w:rsidRDefault="009F1277" w:rsidP="006F6632">
      <w:pPr>
        <w:pStyle w:val="Texto"/>
        <w:rPr>
          <w:lang w:eastAsia="es-MX"/>
        </w:rPr>
      </w:pPr>
    </w:p>
    <w:p w:rsidR="009F1277" w:rsidRPr="009F1277" w:rsidRDefault="009F1277" w:rsidP="006F6632">
      <w:pPr>
        <w:pStyle w:val="Texto"/>
        <w:spacing w:after="80" w:line="213" w:lineRule="exact"/>
        <w:rPr>
          <w:szCs w:val="18"/>
          <w:lang w:eastAsia="es-MX"/>
        </w:rPr>
      </w:pPr>
      <w:r w:rsidRPr="009F1277">
        <w:rPr>
          <w:szCs w:val="18"/>
          <w:lang w:eastAsia="es-MX"/>
        </w:rPr>
        <w:t>Con fundamento en los artículos 6, 7 y 9 de la Ley General de Contabilidad Gubernamental, el Consejo Nacional de Armonización Contable aprobó el siguiente:</w:t>
      </w:r>
    </w:p>
    <w:p w:rsidR="009F1277" w:rsidRPr="009F1277" w:rsidRDefault="009F1277" w:rsidP="006F6632">
      <w:pPr>
        <w:pStyle w:val="Texto"/>
        <w:spacing w:after="80" w:line="213" w:lineRule="exact"/>
        <w:ind w:firstLine="0"/>
        <w:jc w:val="center"/>
        <w:rPr>
          <w:b/>
          <w:szCs w:val="18"/>
          <w:lang w:eastAsia="es-MX"/>
        </w:rPr>
      </w:pPr>
      <w:r w:rsidRPr="009F1277">
        <w:rPr>
          <w:b/>
          <w:szCs w:val="18"/>
          <w:lang w:eastAsia="es-MX"/>
        </w:rPr>
        <w:t>Acuerdo por el que se reforma y adiciona el Clasificador por Fuentes de Financiamiento</w:t>
      </w:r>
    </w:p>
    <w:p w:rsidR="009F1277" w:rsidRPr="009F1277" w:rsidRDefault="009F1277" w:rsidP="006F6632">
      <w:pPr>
        <w:pStyle w:val="ANOTACION"/>
        <w:spacing w:after="80" w:line="213" w:lineRule="exact"/>
        <w:rPr>
          <w:lang w:eastAsia="es-MX"/>
        </w:rPr>
      </w:pPr>
      <w:r w:rsidRPr="009F1277">
        <w:rPr>
          <w:lang w:eastAsia="es-MX"/>
        </w:rPr>
        <w:t>CONSIDERANDO</w:t>
      </w:r>
    </w:p>
    <w:p w:rsidR="009F1277" w:rsidRPr="009F1277" w:rsidRDefault="009F1277" w:rsidP="006F6632">
      <w:pPr>
        <w:pStyle w:val="Texto"/>
        <w:spacing w:after="80" w:line="213" w:lineRule="exact"/>
        <w:rPr>
          <w:szCs w:val="18"/>
          <w:lang w:eastAsia="es-MX"/>
        </w:rPr>
      </w:pPr>
      <w:r w:rsidRPr="009F1277">
        <w:rPr>
          <w:szCs w:val="18"/>
          <w:lang w:eastAsia="es-MX"/>
        </w:rPr>
        <w:t>Que el 31 de diciembre de 2008 se publicó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w:t>
      </w:r>
    </w:p>
    <w:p w:rsidR="009F1277" w:rsidRPr="009F1277" w:rsidRDefault="009F1277" w:rsidP="006F6632">
      <w:pPr>
        <w:pStyle w:val="Texto"/>
        <w:spacing w:after="80" w:line="213" w:lineRule="exact"/>
        <w:rPr>
          <w:szCs w:val="18"/>
          <w:lang w:eastAsia="es-MX"/>
        </w:rPr>
      </w:pPr>
      <w:r w:rsidRPr="009F1277">
        <w:rPr>
          <w:szCs w:val="18"/>
          <w:lang w:eastAsia="es-MX"/>
        </w:rPr>
        <w:t>Que la LGCG es de observancia obligatoria para los poderes Ejecutivo, Legislativo y Judicial de la Federación; las Entidades Federativas; los Ayuntamientos de los Municipios; los órganos político-administrativos de las demarcaciones territoriales de la Ciudad de México; las entidades de la administración pública paraestatal, ya sean federales, estatales o municipales y los órganos autónomos federales y estatales.</w:t>
      </w:r>
    </w:p>
    <w:p w:rsidR="009F1277" w:rsidRPr="009F1277" w:rsidRDefault="009F1277" w:rsidP="006F6632">
      <w:pPr>
        <w:pStyle w:val="Texto"/>
        <w:spacing w:after="80" w:line="213" w:lineRule="exact"/>
        <w:rPr>
          <w:szCs w:val="18"/>
          <w:lang w:eastAsia="es-MX"/>
        </w:rPr>
      </w:pPr>
      <w:r w:rsidRPr="009F1277">
        <w:rPr>
          <w:szCs w:val="18"/>
          <w:lang w:eastAsia="es-MX"/>
        </w:rPr>
        <w:t>Que el Consejo Nacional de Armonización Contable (CONAC) aprobó el Clasificador por Fuentes de Financiamiento, que fue publicado en el Diario Oficial de la Federación el 2 de enero de 2013, el cual consiste en presentar los gastos públicos según los agregados genéricos de los recursos empleados para su financiamiento.</w:t>
      </w:r>
    </w:p>
    <w:p w:rsidR="009F1277" w:rsidRPr="009F1277" w:rsidRDefault="009F1277" w:rsidP="006F6632">
      <w:pPr>
        <w:pStyle w:val="Texto"/>
        <w:spacing w:after="80" w:line="213" w:lineRule="exact"/>
        <w:rPr>
          <w:szCs w:val="18"/>
          <w:lang w:eastAsia="es-MX"/>
        </w:rPr>
      </w:pPr>
      <w:r w:rsidRPr="009F1277">
        <w:rPr>
          <w:szCs w:val="18"/>
          <w:lang w:eastAsia="es-MX"/>
        </w:rPr>
        <w:t>Que el CONAC, en los términos de la LGCG, emitió los criterios a seguir para la elaboración y presentación homogénea de la información financiera referida en la Ley de Disciplina Financiera de las Entidades Federativas y los Municipios (LDF), por lo que a fin de asegurar su congruencia con las normas contables, se hace indispensable realizar las siguientes precisiones para identificar las fuentes u orígenes de los ingresos que financian los egresos.</w:t>
      </w:r>
    </w:p>
    <w:p w:rsidR="009F1277" w:rsidRPr="009F1277" w:rsidRDefault="009F1277" w:rsidP="006F6632">
      <w:pPr>
        <w:pStyle w:val="Texto"/>
        <w:spacing w:after="80" w:line="213" w:lineRule="exact"/>
        <w:rPr>
          <w:szCs w:val="18"/>
          <w:lang w:eastAsia="es-MX"/>
        </w:rPr>
      </w:pPr>
      <w:r w:rsidRPr="009F1277">
        <w:rPr>
          <w:szCs w:val="18"/>
          <w:lang w:eastAsia="es-MX"/>
        </w:rPr>
        <w:t>Por lo expuesto, el Consejo Nacional de Armonización Contable aprobó el siguiente:</w:t>
      </w:r>
    </w:p>
    <w:p w:rsidR="009F1277" w:rsidRPr="009F1277" w:rsidRDefault="009F1277" w:rsidP="006F6632">
      <w:pPr>
        <w:pStyle w:val="Texto"/>
        <w:spacing w:after="80" w:line="213" w:lineRule="exact"/>
        <w:ind w:firstLine="0"/>
        <w:jc w:val="center"/>
        <w:rPr>
          <w:b/>
          <w:szCs w:val="18"/>
          <w:lang w:eastAsia="es-MX"/>
        </w:rPr>
      </w:pPr>
      <w:r w:rsidRPr="009F1277">
        <w:rPr>
          <w:b/>
          <w:szCs w:val="18"/>
          <w:lang w:eastAsia="es-MX"/>
        </w:rPr>
        <w:t>Acuerdo por el que se reforma y adiciona el Clasificador por Fuentes de Financiamiento</w:t>
      </w:r>
    </w:p>
    <w:p w:rsidR="009F1277" w:rsidRPr="009F1277" w:rsidRDefault="009F1277" w:rsidP="006F6632">
      <w:pPr>
        <w:pStyle w:val="Texto"/>
        <w:spacing w:after="80" w:line="213" w:lineRule="exact"/>
        <w:rPr>
          <w:b/>
          <w:szCs w:val="18"/>
          <w:lang w:eastAsia="es-MX"/>
        </w:rPr>
      </w:pPr>
      <w:r w:rsidRPr="009F1277">
        <w:rPr>
          <w:szCs w:val="18"/>
          <w:lang w:eastAsia="es-MX"/>
        </w:rPr>
        <w:t>Se adiciona un último párrafo al apartado B. INTRODUCCIÓN y se reforma el contenido de los apartados C. RELACIÓN DE FUENTES DE FINANCIAMIENTO y D. DESCRIPCIÓN DE LAS FUENTES DE FINANCIAMIENTO, para quedar como sigue:</w:t>
      </w:r>
    </w:p>
    <w:p w:rsidR="009F1277" w:rsidRPr="009F1277" w:rsidRDefault="009F1277" w:rsidP="006F6632">
      <w:pPr>
        <w:pStyle w:val="Texto"/>
        <w:spacing w:after="80" w:line="213" w:lineRule="exact"/>
        <w:rPr>
          <w:b/>
          <w:color w:val="000000"/>
          <w:lang w:eastAsia="es-MX"/>
        </w:rPr>
      </w:pPr>
      <w:r w:rsidRPr="009F1277">
        <w:rPr>
          <w:b/>
          <w:color w:val="000000"/>
          <w:lang w:eastAsia="es-MX"/>
        </w:rPr>
        <w:t>A. FUNDAMENTO LEGAL</w:t>
      </w:r>
    </w:p>
    <w:p w:rsidR="009F1277" w:rsidRPr="009F1277" w:rsidRDefault="009F1277" w:rsidP="006F6632">
      <w:pPr>
        <w:pStyle w:val="Texto"/>
        <w:spacing w:after="80" w:line="213" w:lineRule="exact"/>
        <w:rPr>
          <w:b/>
          <w:color w:val="000000"/>
          <w:lang w:eastAsia="es-MX"/>
        </w:rPr>
      </w:pPr>
      <w:r w:rsidRPr="009F1277">
        <w:rPr>
          <w:b/>
          <w:color w:val="000000"/>
          <w:lang w:eastAsia="es-MX"/>
        </w:rPr>
        <w:t>…</w:t>
      </w:r>
    </w:p>
    <w:p w:rsidR="009F1277" w:rsidRPr="009F1277" w:rsidRDefault="009F1277" w:rsidP="006F6632">
      <w:pPr>
        <w:pStyle w:val="Texto"/>
        <w:spacing w:after="80" w:line="213" w:lineRule="exact"/>
        <w:rPr>
          <w:b/>
          <w:color w:val="000000"/>
          <w:lang w:eastAsia="es-MX"/>
        </w:rPr>
      </w:pPr>
      <w:r w:rsidRPr="009F1277">
        <w:rPr>
          <w:b/>
          <w:color w:val="000000"/>
          <w:lang w:eastAsia="es-MX"/>
        </w:rPr>
        <w:t>…</w:t>
      </w:r>
    </w:p>
    <w:p w:rsidR="009F1277" w:rsidRPr="009F1277" w:rsidRDefault="009F1277" w:rsidP="006F6632">
      <w:pPr>
        <w:pStyle w:val="Texto"/>
        <w:spacing w:after="80" w:line="213" w:lineRule="exact"/>
        <w:rPr>
          <w:b/>
          <w:color w:val="000000"/>
          <w:lang w:eastAsia="es-MX"/>
        </w:rPr>
      </w:pPr>
      <w:r w:rsidRPr="009F1277">
        <w:rPr>
          <w:b/>
          <w:color w:val="000000"/>
          <w:lang w:eastAsia="es-MX"/>
        </w:rPr>
        <w:t>…</w:t>
      </w:r>
    </w:p>
    <w:p w:rsidR="009F1277" w:rsidRPr="009F1277" w:rsidRDefault="009F1277" w:rsidP="006F6632">
      <w:pPr>
        <w:pStyle w:val="Texto"/>
        <w:spacing w:after="80" w:line="213" w:lineRule="exact"/>
        <w:rPr>
          <w:b/>
          <w:color w:val="000000"/>
          <w:lang w:eastAsia="es-MX"/>
        </w:rPr>
      </w:pPr>
      <w:r w:rsidRPr="009F1277">
        <w:rPr>
          <w:b/>
          <w:color w:val="000000"/>
          <w:lang w:eastAsia="es-MX"/>
        </w:rPr>
        <w:t>…</w:t>
      </w:r>
    </w:p>
    <w:p w:rsidR="009F1277" w:rsidRPr="009F1277" w:rsidRDefault="009F1277" w:rsidP="006F6632">
      <w:pPr>
        <w:pStyle w:val="Texto"/>
        <w:spacing w:after="80" w:line="213" w:lineRule="exact"/>
        <w:rPr>
          <w:b/>
          <w:color w:val="000000"/>
          <w:lang w:eastAsia="es-MX"/>
        </w:rPr>
      </w:pPr>
      <w:r w:rsidRPr="009F1277">
        <w:rPr>
          <w:b/>
          <w:color w:val="000000"/>
          <w:lang w:eastAsia="es-MX"/>
        </w:rPr>
        <w:t>B. INTRODUCCIÓN</w:t>
      </w:r>
    </w:p>
    <w:p w:rsidR="009F1277" w:rsidRPr="009F1277" w:rsidRDefault="009F1277" w:rsidP="006F6632">
      <w:pPr>
        <w:pStyle w:val="Texto"/>
        <w:spacing w:after="80" w:line="213" w:lineRule="exact"/>
        <w:rPr>
          <w:b/>
          <w:lang w:eastAsia="es-MX"/>
        </w:rPr>
      </w:pPr>
      <w:r w:rsidRPr="009F1277">
        <w:rPr>
          <w:b/>
          <w:lang w:eastAsia="es-MX"/>
        </w:rPr>
        <w:t>…</w:t>
      </w:r>
    </w:p>
    <w:p w:rsidR="009F1277" w:rsidRPr="009F1277" w:rsidRDefault="009F1277" w:rsidP="006F6632">
      <w:pPr>
        <w:pStyle w:val="Texto"/>
        <w:spacing w:after="80" w:line="213" w:lineRule="exact"/>
        <w:rPr>
          <w:b/>
          <w:lang w:eastAsia="es-MX"/>
        </w:rPr>
      </w:pPr>
      <w:r w:rsidRPr="009F1277">
        <w:rPr>
          <w:b/>
          <w:lang w:eastAsia="es-MX"/>
        </w:rPr>
        <w:t>…</w:t>
      </w:r>
    </w:p>
    <w:p w:rsidR="009F1277" w:rsidRPr="009F1277" w:rsidRDefault="009F1277" w:rsidP="006F6632">
      <w:pPr>
        <w:pStyle w:val="Texto"/>
        <w:spacing w:after="80" w:line="213" w:lineRule="exact"/>
        <w:rPr>
          <w:szCs w:val="18"/>
          <w:lang w:eastAsia="es-MX"/>
        </w:rPr>
      </w:pPr>
      <w:r w:rsidRPr="009F1277">
        <w:rPr>
          <w:szCs w:val="18"/>
          <w:lang w:eastAsia="es-MX"/>
        </w:rPr>
        <w:t xml:space="preserve">Las unidades administrativas o instancias competentes de cada ámbito de gobierno, podrán desagregar de acuerdo a sus necesidades este clasificador, a partir de la estructura básica que se está presentando </w:t>
      </w:r>
      <w:r w:rsidR="00DB613F">
        <w:rPr>
          <w:szCs w:val="18"/>
          <w:lang w:eastAsia="es-MX"/>
        </w:rPr>
        <w:t xml:space="preserve"> </w:t>
      </w:r>
      <w:r w:rsidRPr="009F1277">
        <w:rPr>
          <w:szCs w:val="18"/>
          <w:lang w:eastAsia="es-MX"/>
        </w:rPr>
        <w:t>(2 dígitos).</w:t>
      </w:r>
    </w:p>
    <w:p w:rsidR="009F1277" w:rsidRPr="009F1277" w:rsidRDefault="009F1277" w:rsidP="006F6632">
      <w:pPr>
        <w:pStyle w:val="Texto"/>
        <w:spacing w:after="80" w:line="213" w:lineRule="exact"/>
        <w:rPr>
          <w:b/>
          <w:color w:val="000000"/>
          <w:lang w:eastAsia="es-MX"/>
        </w:rPr>
      </w:pPr>
      <w:r w:rsidRPr="009F1277">
        <w:rPr>
          <w:b/>
          <w:color w:val="000000"/>
          <w:lang w:eastAsia="es-MX"/>
        </w:rPr>
        <w:t>C. RELACIÓN DE FUENTES DE FINANCIAMIENTO</w:t>
      </w:r>
    </w:p>
    <w:p w:rsidR="009F1277" w:rsidRPr="009F1277" w:rsidRDefault="009F1277" w:rsidP="006F6632">
      <w:pPr>
        <w:pStyle w:val="Texto"/>
        <w:spacing w:after="80" w:line="213" w:lineRule="exact"/>
        <w:rPr>
          <w:b/>
          <w:lang w:eastAsia="es-MX"/>
        </w:rPr>
      </w:pPr>
      <w:r w:rsidRPr="009F1277">
        <w:rPr>
          <w:b/>
          <w:lang w:eastAsia="es-MX"/>
        </w:rPr>
        <w:t>1.</w:t>
      </w:r>
      <w:r w:rsidRPr="009F1277">
        <w:rPr>
          <w:b/>
          <w:lang w:eastAsia="es-MX"/>
        </w:rPr>
        <w:tab/>
        <w:t>No Etiquetado</w:t>
      </w:r>
    </w:p>
    <w:p w:rsidR="009F1277" w:rsidRPr="009F1277" w:rsidRDefault="009F1277" w:rsidP="006F6632">
      <w:pPr>
        <w:pStyle w:val="INCISO"/>
        <w:spacing w:after="80" w:line="213" w:lineRule="exact"/>
        <w:rPr>
          <w:lang w:eastAsia="es-MX"/>
        </w:rPr>
      </w:pPr>
      <w:r w:rsidRPr="009F1277">
        <w:rPr>
          <w:lang w:eastAsia="es-MX"/>
        </w:rPr>
        <w:t>11.</w:t>
      </w:r>
      <w:r w:rsidRPr="009F1277">
        <w:rPr>
          <w:lang w:eastAsia="es-MX"/>
        </w:rPr>
        <w:tab/>
        <w:t>Recursos Fiscales</w:t>
      </w:r>
    </w:p>
    <w:p w:rsidR="009F1277" w:rsidRPr="009F1277" w:rsidRDefault="009F1277" w:rsidP="006F6632">
      <w:pPr>
        <w:pStyle w:val="INCISO"/>
        <w:spacing w:after="80" w:line="213" w:lineRule="exact"/>
        <w:rPr>
          <w:lang w:eastAsia="es-MX"/>
        </w:rPr>
      </w:pPr>
      <w:r w:rsidRPr="009F1277">
        <w:rPr>
          <w:lang w:eastAsia="es-MX"/>
        </w:rPr>
        <w:t>12.</w:t>
      </w:r>
      <w:r w:rsidRPr="009F1277">
        <w:rPr>
          <w:lang w:eastAsia="es-MX"/>
        </w:rPr>
        <w:tab/>
        <w:t>Financiamientos Internos</w:t>
      </w:r>
    </w:p>
    <w:p w:rsidR="009F1277" w:rsidRPr="009F1277" w:rsidRDefault="009F1277" w:rsidP="006F6632">
      <w:pPr>
        <w:pStyle w:val="INCISO"/>
        <w:spacing w:after="80" w:line="213" w:lineRule="exact"/>
        <w:rPr>
          <w:lang w:eastAsia="es-MX"/>
        </w:rPr>
      </w:pPr>
      <w:r w:rsidRPr="009F1277">
        <w:rPr>
          <w:lang w:eastAsia="es-MX"/>
        </w:rPr>
        <w:t>13.</w:t>
      </w:r>
      <w:r w:rsidRPr="009F1277">
        <w:rPr>
          <w:lang w:eastAsia="es-MX"/>
        </w:rPr>
        <w:tab/>
        <w:t>Financiamientos Externos</w:t>
      </w:r>
    </w:p>
    <w:p w:rsidR="009F1277" w:rsidRPr="009F1277" w:rsidRDefault="009F1277" w:rsidP="006F6632">
      <w:pPr>
        <w:pStyle w:val="INCISO"/>
        <w:spacing w:after="80" w:line="213" w:lineRule="exact"/>
        <w:rPr>
          <w:lang w:eastAsia="es-MX"/>
        </w:rPr>
      </w:pPr>
      <w:r w:rsidRPr="009F1277">
        <w:rPr>
          <w:lang w:eastAsia="es-MX"/>
        </w:rPr>
        <w:t>14.</w:t>
      </w:r>
      <w:r w:rsidRPr="009F1277">
        <w:rPr>
          <w:lang w:eastAsia="es-MX"/>
        </w:rPr>
        <w:tab/>
        <w:t>Ingresos Propios</w:t>
      </w:r>
    </w:p>
    <w:p w:rsidR="009F1277" w:rsidRPr="009F1277" w:rsidRDefault="009F1277" w:rsidP="006F6632">
      <w:pPr>
        <w:pStyle w:val="INCISO"/>
        <w:spacing w:after="80" w:line="213" w:lineRule="exact"/>
        <w:rPr>
          <w:lang w:eastAsia="es-MX"/>
        </w:rPr>
      </w:pPr>
      <w:r w:rsidRPr="009F1277">
        <w:rPr>
          <w:lang w:eastAsia="es-MX"/>
        </w:rPr>
        <w:t>15.</w:t>
      </w:r>
      <w:r w:rsidRPr="009F1277">
        <w:rPr>
          <w:lang w:eastAsia="es-MX"/>
        </w:rPr>
        <w:tab/>
        <w:t>Recursos Federales</w:t>
      </w:r>
    </w:p>
    <w:p w:rsidR="009F1277" w:rsidRPr="009F1277" w:rsidRDefault="009F1277" w:rsidP="006F6632">
      <w:pPr>
        <w:pStyle w:val="INCISO"/>
        <w:spacing w:after="80" w:line="213" w:lineRule="exact"/>
        <w:rPr>
          <w:lang w:eastAsia="es-MX"/>
        </w:rPr>
      </w:pPr>
      <w:r w:rsidRPr="009F1277">
        <w:rPr>
          <w:lang w:eastAsia="es-MX"/>
        </w:rPr>
        <w:t>16.</w:t>
      </w:r>
      <w:r w:rsidRPr="009F1277">
        <w:rPr>
          <w:lang w:eastAsia="es-MX"/>
        </w:rPr>
        <w:tab/>
        <w:t>Recursos Estatales</w:t>
      </w:r>
    </w:p>
    <w:p w:rsidR="009F1277" w:rsidRPr="009F1277" w:rsidRDefault="009F1277" w:rsidP="006F6632">
      <w:pPr>
        <w:pStyle w:val="INCISO"/>
        <w:spacing w:after="80" w:line="213" w:lineRule="exact"/>
        <w:rPr>
          <w:lang w:eastAsia="es-MX"/>
        </w:rPr>
      </w:pPr>
      <w:r w:rsidRPr="009F1277">
        <w:rPr>
          <w:lang w:eastAsia="es-MX"/>
        </w:rPr>
        <w:t>17.</w:t>
      </w:r>
      <w:r w:rsidRPr="009F1277">
        <w:rPr>
          <w:lang w:eastAsia="es-MX"/>
        </w:rPr>
        <w:tab/>
        <w:t>Otros Recursos de Libre Disposición</w:t>
      </w:r>
    </w:p>
    <w:p w:rsidR="009F1277" w:rsidRPr="009F1277" w:rsidRDefault="009F1277" w:rsidP="006F6632">
      <w:pPr>
        <w:pStyle w:val="Texto"/>
        <w:spacing w:after="80" w:line="213" w:lineRule="exact"/>
        <w:rPr>
          <w:b/>
          <w:lang w:eastAsia="es-MX"/>
        </w:rPr>
      </w:pPr>
      <w:r w:rsidRPr="009F1277">
        <w:rPr>
          <w:b/>
          <w:lang w:eastAsia="es-MX"/>
        </w:rPr>
        <w:t>2.</w:t>
      </w:r>
      <w:r w:rsidRPr="009F1277">
        <w:rPr>
          <w:b/>
          <w:lang w:eastAsia="es-MX"/>
        </w:rPr>
        <w:tab/>
        <w:t>Etiquetado</w:t>
      </w:r>
    </w:p>
    <w:p w:rsidR="009F1277" w:rsidRPr="009F1277" w:rsidRDefault="009F1277" w:rsidP="006F6632">
      <w:pPr>
        <w:pStyle w:val="INCISO"/>
        <w:spacing w:after="80" w:line="213" w:lineRule="exact"/>
        <w:rPr>
          <w:lang w:eastAsia="es-MX"/>
        </w:rPr>
      </w:pPr>
      <w:r w:rsidRPr="009F1277">
        <w:rPr>
          <w:lang w:eastAsia="es-MX"/>
        </w:rPr>
        <w:t>25.</w:t>
      </w:r>
      <w:r w:rsidRPr="009F1277">
        <w:rPr>
          <w:lang w:eastAsia="es-MX"/>
        </w:rPr>
        <w:tab/>
        <w:t>Recursos Federales</w:t>
      </w:r>
    </w:p>
    <w:p w:rsidR="009F1277" w:rsidRPr="009F1277" w:rsidRDefault="009F1277" w:rsidP="006F6632">
      <w:pPr>
        <w:pStyle w:val="INCISO"/>
        <w:spacing w:after="80" w:line="213" w:lineRule="exact"/>
        <w:rPr>
          <w:lang w:eastAsia="es-MX"/>
        </w:rPr>
      </w:pPr>
      <w:r w:rsidRPr="009F1277">
        <w:rPr>
          <w:lang w:eastAsia="es-MX"/>
        </w:rPr>
        <w:lastRenderedPageBreak/>
        <w:t>26.</w:t>
      </w:r>
      <w:r w:rsidRPr="009F1277">
        <w:rPr>
          <w:lang w:eastAsia="es-MX"/>
        </w:rPr>
        <w:tab/>
        <w:t>Recursos Estatales</w:t>
      </w:r>
    </w:p>
    <w:p w:rsidR="009F1277" w:rsidRPr="009F1277" w:rsidRDefault="009F1277" w:rsidP="006F6632">
      <w:pPr>
        <w:pStyle w:val="INCISO"/>
        <w:spacing w:after="80" w:line="213" w:lineRule="exact"/>
        <w:rPr>
          <w:lang w:eastAsia="es-MX"/>
        </w:rPr>
      </w:pPr>
      <w:r w:rsidRPr="009F1277">
        <w:rPr>
          <w:lang w:eastAsia="es-MX"/>
        </w:rPr>
        <w:t>27.</w:t>
      </w:r>
      <w:r w:rsidRPr="009F1277">
        <w:rPr>
          <w:lang w:eastAsia="es-MX"/>
        </w:rPr>
        <w:tab/>
        <w:t>Otros Recursos de Transferencias Federales Etiquetadas</w:t>
      </w:r>
    </w:p>
    <w:p w:rsidR="009F1277" w:rsidRPr="009F1277" w:rsidRDefault="009F1277" w:rsidP="006F6632">
      <w:pPr>
        <w:pStyle w:val="Texto"/>
        <w:spacing w:after="80" w:line="213" w:lineRule="exact"/>
        <w:rPr>
          <w:b/>
          <w:color w:val="000000"/>
          <w:lang w:eastAsia="es-MX"/>
        </w:rPr>
      </w:pPr>
      <w:r w:rsidRPr="009F1277">
        <w:rPr>
          <w:b/>
          <w:color w:val="000000"/>
          <w:lang w:eastAsia="es-MX"/>
        </w:rPr>
        <w:t>D. DESCRIPCION DE LAS FUENTES DE FINANCIAMIENTO</w:t>
      </w:r>
    </w:p>
    <w:p w:rsidR="009F1277" w:rsidRPr="009F1277" w:rsidRDefault="009F1277" w:rsidP="006F6632">
      <w:pPr>
        <w:pStyle w:val="Texto"/>
        <w:spacing w:after="80" w:line="213" w:lineRule="exact"/>
        <w:rPr>
          <w:b/>
          <w:lang w:eastAsia="es-MX"/>
        </w:rPr>
      </w:pPr>
      <w:r w:rsidRPr="009F1277">
        <w:rPr>
          <w:b/>
          <w:lang w:eastAsia="es-MX"/>
        </w:rPr>
        <w:t>1.</w:t>
      </w:r>
      <w:r w:rsidRPr="009F1277">
        <w:rPr>
          <w:b/>
          <w:lang w:eastAsia="es-MX"/>
        </w:rPr>
        <w:tab/>
        <w:t>No Etiquetado</w:t>
      </w:r>
    </w:p>
    <w:p w:rsidR="009F1277" w:rsidRPr="009F1277" w:rsidRDefault="009F1277" w:rsidP="006F6632">
      <w:pPr>
        <w:pStyle w:val="Texto"/>
        <w:spacing w:after="80" w:line="213" w:lineRule="exact"/>
        <w:rPr>
          <w:color w:val="000000"/>
          <w:lang w:eastAsia="es-MX"/>
        </w:rPr>
      </w:pPr>
      <w:r w:rsidRPr="009F1277">
        <w:rPr>
          <w:color w:val="000000"/>
          <w:lang w:eastAsia="es-MX"/>
        </w:rPr>
        <w:t xml:space="preserve">Son los </w:t>
      </w:r>
      <w:r w:rsidRPr="009F1277">
        <w:rPr>
          <w:lang w:eastAsia="es-MX"/>
        </w:rPr>
        <w:t>recursos</w:t>
      </w:r>
      <w:r w:rsidRPr="009F1277">
        <w:rPr>
          <w:color w:val="000000"/>
          <w:lang w:eastAsia="es-MX"/>
        </w:rPr>
        <w:t xml:space="preserve"> que provienen de Ingresos de libre disposición y financiamientos.</w:t>
      </w:r>
    </w:p>
    <w:p w:rsidR="009F1277" w:rsidRPr="009F1277" w:rsidRDefault="009F1277" w:rsidP="006F6632">
      <w:pPr>
        <w:pStyle w:val="Texto"/>
        <w:spacing w:after="80" w:line="213" w:lineRule="exact"/>
        <w:rPr>
          <w:lang w:eastAsia="es-MX"/>
        </w:rPr>
      </w:pPr>
      <w:r>
        <w:rPr>
          <w:lang w:eastAsia="es-MX"/>
        </w:rPr>
        <w:t xml:space="preserve">11. </w:t>
      </w:r>
      <w:r w:rsidRPr="009F1277">
        <w:rPr>
          <w:lang w:eastAsia="es-MX"/>
        </w:rPr>
        <w:t>Recursos Fiscales</w:t>
      </w:r>
    </w:p>
    <w:p w:rsidR="009F1277" w:rsidRPr="009F1277" w:rsidRDefault="009F1277" w:rsidP="006F6632">
      <w:pPr>
        <w:pStyle w:val="Texto"/>
        <w:spacing w:after="80" w:line="213" w:lineRule="exact"/>
        <w:rPr>
          <w:lang w:eastAsia="es-MX"/>
        </w:rPr>
      </w:pPr>
      <w:r w:rsidRPr="009F1277">
        <w:rPr>
          <w:lang w:eastAsia="es-MX"/>
        </w:rPr>
        <w:t>Son los que provienen de impuestos, contribuciones de mejoras, derechos, productos, aprovechamientos, y cuotas y aportaciones de seguridad social; incluyen las asignaciones y transferencias presupuestarias a los poderes Ejecutivo, Legislativo y Judicial, a los Órganos Autónomos y a las entidades de la administración pública paraestatal, además de subsidios y subvenciones, pensiones y jubilaciones, y transferencias del Fondo Mexicano del Petróleo; así como ingresos diversos y no inherentes a la operación de los poderes y órganos autónomos.</w:t>
      </w:r>
    </w:p>
    <w:p w:rsidR="009F1277" w:rsidRPr="009F1277" w:rsidRDefault="009F1277" w:rsidP="006F6632">
      <w:pPr>
        <w:pStyle w:val="Texto"/>
        <w:spacing w:after="80" w:line="213" w:lineRule="exact"/>
        <w:rPr>
          <w:lang w:eastAsia="es-MX"/>
        </w:rPr>
      </w:pPr>
      <w:r w:rsidRPr="009F1277">
        <w:rPr>
          <w:lang w:eastAsia="es-MX"/>
        </w:rPr>
        <w:t>12. Financiamientos Internos</w:t>
      </w:r>
    </w:p>
    <w:p w:rsidR="009F1277" w:rsidRPr="009F1277" w:rsidRDefault="009F1277" w:rsidP="006F6632">
      <w:pPr>
        <w:pStyle w:val="Texto"/>
        <w:spacing w:after="80" w:line="213" w:lineRule="exact"/>
        <w:rPr>
          <w:lang w:eastAsia="es-MX"/>
        </w:rPr>
      </w:pPr>
      <w:r w:rsidRPr="009F1277">
        <w:rPr>
          <w:lang w:eastAsia="es-MX"/>
        </w:rPr>
        <w:t>Son los que provienen de obligaciones contraídas en el país, con acreedores nacionales y pagaderos en el interior del país en moneda nacional.</w:t>
      </w:r>
    </w:p>
    <w:p w:rsidR="009F1277" w:rsidRPr="009F1277" w:rsidRDefault="009F1277" w:rsidP="006F6632">
      <w:pPr>
        <w:pStyle w:val="Texto"/>
        <w:spacing w:after="80" w:line="213" w:lineRule="exact"/>
        <w:rPr>
          <w:lang w:eastAsia="es-MX"/>
        </w:rPr>
      </w:pPr>
      <w:r w:rsidRPr="009F1277">
        <w:rPr>
          <w:lang w:eastAsia="es-MX"/>
        </w:rPr>
        <w:t>13. Financiamientos Externos</w:t>
      </w:r>
    </w:p>
    <w:p w:rsidR="009F1277" w:rsidRPr="009F1277" w:rsidRDefault="009F1277" w:rsidP="006F6632">
      <w:pPr>
        <w:pStyle w:val="Texto"/>
        <w:spacing w:after="80" w:line="213" w:lineRule="exact"/>
        <w:rPr>
          <w:lang w:eastAsia="es-MX"/>
        </w:rPr>
      </w:pPr>
      <w:r w:rsidRPr="009F1277">
        <w:rPr>
          <w:lang w:eastAsia="es-MX"/>
        </w:rPr>
        <w:t>Son los que provienen de obligaciones contraídas por el Poder Ejecutivo Federal con acreedores extranjeros y pagaderos en el exterior del país en moneda extranjera.</w:t>
      </w:r>
    </w:p>
    <w:p w:rsidR="009F1277" w:rsidRPr="009F1277" w:rsidRDefault="009F1277" w:rsidP="006F6632">
      <w:pPr>
        <w:pStyle w:val="Texto"/>
        <w:spacing w:after="80" w:line="213" w:lineRule="exact"/>
        <w:rPr>
          <w:lang w:eastAsia="es-MX"/>
        </w:rPr>
      </w:pPr>
      <w:r w:rsidRPr="009F1277">
        <w:rPr>
          <w:lang w:eastAsia="es-MX"/>
        </w:rPr>
        <w:t>14. Ingresos Propios</w:t>
      </w:r>
    </w:p>
    <w:p w:rsidR="009F1277" w:rsidRPr="009F1277" w:rsidRDefault="009F1277" w:rsidP="006F6632">
      <w:pPr>
        <w:pStyle w:val="Texto"/>
        <w:spacing w:after="80" w:line="213" w:lineRule="exact"/>
        <w:rPr>
          <w:lang w:eastAsia="es-MX"/>
        </w:rPr>
      </w:pPr>
      <w:r w:rsidRPr="009F1277">
        <w:rPr>
          <w:lang w:eastAsia="es-MX"/>
        </w:rPr>
        <w:t>Son los que obtienen las entidades de la administración pública paraestatal y paramunicipal como pueden ser los ingresos por venta de bienes y servicios, ingresos diversos y no inherentes a la operación, en términos de las disposiciones legales aplicables.</w:t>
      </w:r>
    </w:p>
    <w:p w:rsidR="009F1277" w:rsidRPr="009F1277" w:rsidRDefault="009F1277" w:rsidP="006F6632">
      <w:pPr>
        <w:pStyle w:val="Texto"/>
        <w:spacing w:after="80" w:line="213" w:lineRule="exact"/>
        <w:rPr>
          <w:lang w:eastAsia="es-MX"/>
        </w:rPr>
      </w:pPr>
      <w:r w:rsidRPr="009F1277">
        <w:rPr>
          <w:lang w:eastAsia="es-MX"/>
        </w:rPr>
        <w:t>15. Recursos Federales</w:t>
      </w:r>
    </w:p>
    <w:p w:rsidR="009F1277" w:rsidRPr="009F1277" w:rsidRDefault="009F1277" w:rsidP="006F6632">
      <w:pPr>
        <w:pStyle w:val="Texto"/>
        <w:spacing w:after="80" w:line="213" w:lineRule="exact"/>
        <w:rPr>
          <w:lang w:eastAsia="es-MX"/>
        </w:rPr>
      </w:pPr>
      <w:r w:rsidRPr="009F1277">
        <w:rPr>
          <w:lang w:eastAsia="es-MX"/>
        </w:rPr>
        <w:t xml:space="preserve">Son los que provienen </w:t>
      </w:r>
      <w:r w:rsidRPr="009F1277">
        <w:rPr>
          <w:color w:val="000000"/>
          <w:lang w:eastAsia="es-MX"/>
        </w:rPr>
        <w:t xml:space="preserve">de la Federación, destinados a </w:t>
      </w:r>
      <w:r w:rsidRPr="009F1277">
        <w:rPr>
          <w:lang w:eastAsia="es-MX"/>
        </w:rPr>
        <w:t xml:space="preserve">las Entidades Federativas y los Municipios, en </w:t>
      </w:r>
      <w:r w:rsidRPr="009F1277">
        <w:rPr>
          <w:color w:val="000000"/>
          <w:lang w:eastAsia="es-MX"/>
        </w:rPr>
        <w:t>términos de la Ley Federal de Presupuesto y Responsabilidad Hacendaria y el Presupuesto de Egresos de la Federación</w:t>
      </w:r>
      <w:r w:rsidRPr="009F1277">
        <w:rPr>
          <w:lang w:eastAsia="es-MX"/>
        </w:rPr>
        <w:t>, por concepto de participaciones, convenios e incentivos derivados de la colaboración fiscal, según corresponda.</w:t>
      </w:r>
    </w:p>
    <w:p w:rsidR="009F1277" w:rsidRPr="009F1277" w:rsidRDefault="009F1277" w:rsidP="006F6632">
      <w:pPr>
        <w:pStyle w:val="Texto"/>
        <w:spacing w:after="80" w:line="213" w:lineRule="exact"/>
        <w:rPr>
          <w:lang w:eastAsia="es-MX"/>
        </w:rPr>
      </w:pPr>
      <w:r w:rsidRPr="009F1277">
        <w:rPr>
          <w:lang w:eastAsia="es-MX"/>
        </w:rPr>
        <w:t>16. Recursos Estatales</w:t>
      </w:r>
    </w:p>
    <w:p w:rsidR="009F1277" w:rsidRPr="009F1277" w:rsidRDefault="009F1277" w:rsidP="006F6632">
      <w:pPr>
        <w:pStyle w:val="Texto"/>
        <w:spacing w:after="80" w:line="213" w:lineRule="exact"/>
        <w:rPr>
          <w:lang w:eastAsia="es-MX"/>
        </w:rPr>
      </w:pPr>
      <w:r w:rsidRPr="009F1277">
        <w:rPr>
          <w:lang w:eastAsia="es-MX"/>
        </w:rPr>
        <w:t>En el caso de los Municipios, son los que provienen del Gobierno Estatal, en términos de la Ley de Ingresos Estatal y del Presupuesto de Egresos Estatal.</w:t>
      </w:r>
    </w:p>
    <w:p w:rsidR="009F1277" w:rsidRPr="009F1277" w:rsidRDefault="009F1277" w:rsidP="006F6632">
      <w:pPr>
        <w:pStyle w:val="Texto"/>
        <w:spacing w:after="80" w:line="213" w:lineRule="exact"/>
        <w:rPr>
          <w:lang w:eastAsia="es-MX"/>
        </w:rPr>
      </w:pPr>
      <w:r w:rsidRPr="009F1277">
        <w:rPr>
          <w:lang w:eastAsia="es-MX"/>
        </w:rPr>
        <w:t>17. Otros Recursos de Libre Disposición</w:t>
      </w:r>
    </w:p>
    <w:p w:rsidR="009F1277" w:rsidRPr="009F1277" w:rsidRDefault="009F1277" w:rsidP="006F6632">
      <w:pPr>
        <w:pStyle w:val="Texto"/>
        <w:spacing w:after="80" w:line="213" w:lineRule="exact"/>
        <w:rPr>
          <w:lang w:eastAsia="es-MX"/>
        </w:rPr>
      </w:pPr>
      <w:r w:rsidRPr="009F1277">
        <w:rPr>
          <w:lang w:eastAsia="es-MX"/>
        </w:rPr>
        <w:t>Son los que provienen de otras fuentes no etiquetadas no comprendidas en los conceptos anteriores.</w:t>
      </w:r>
    </w:p>
    <w:p w:rsidR="009F1277" w:rsidRPr="009F1277" w:rsidRDefault="009F1277" w:rsidP="006F6632">
      <w:pPr>
        <w:pStyle w:val="Texto"/>
        <w:spacing w:after="80" w:line="213" w:lineRule="exact"/>
        <w:rPr>
          <w:b/>
          <w:lang w:eastAsia="es-MX"/>
        </w:rPr>
      </w:pPr>
      <w:r w:rsidRPr="009F1277">
        <w:rPr>
          <w:b/>
          <w:lang w:eastAsia="es-MX"/>
        </w:rPr>
        <w:t>2.</w:t>
      </w:r>
      <w:r w:rsidRPr="009F1277">
        <w:rPr>
          <w:b/>
          <w:lang w:eastAsia="es-MX"/>
        </w:rPr>
        <w:tab/>
        <w:t>Etiquetado</w:t>
      </w:r>
    </w:p>
    <w:p w:rsidR="009F1277" w:rsidRPr="009F1277" w:rsidRDefault="009F1277" w:rsidP="006F6632">
      <w:pPr>
        <w:pStyle w:val="Texto"/>
        <w:spacing w:after="80" w:line="213" w:lineRule="exact"/>
        <w:rPr>
          <w:color w:val="000000"/>
          <w:lang w:eastAsia="es-MX"/>
        </w:rPr>
      </w:pPr>
      <w:r w:rsidRPr="009F1277">
        <w:rPr>
          <w:color w:val="000000"/>
          <w:lang w:eastAsia="es-MX"/>
        </w:rPr>
        <w:t xml:space="preserve">Son los </w:t>
      </w:r>
      <w:r w:rsidRPr="009F1277">
        <w:rPr>
          <w:lang w:eastAsia="es-MX"/>
        </w:rPr>
        <w:t>recursos</w:t>
      </w:r>
      <w:r w:rsidRPr="009F1277">
        <w:rPr>
          <w:color w:val="000000"/>
          <w:lang w:eastAsia="es-MX"/>
        </w:rPr>
        <w:t xml:space="preserve"> que provienen de transferencias federales etiquetadas, en el caso de los Municipios, adicionalmente se incluyen las erogaciones que éstos realizan con recursos de la Entidad Federativa con un destino específico.</w:t>
      </w:r>
    </w:p>
    <w:p w:rsidR="009F1277" w:rsidRPr="009F1277" w:rsidRDefault="009F1277" w:rsidP="006F6632">
      <w:pPr>
        <w:pStyle w:val="Texto"/>
        <w:spacing w:after="80" w:line="213" w:lineRule="exact"/>
        <w:rPr>
          <w:lang w:eastAsia="es-MX"/>
        </w:rPr>
      </w:pPr>
      <w:r w:rsidRPr="009F1277">
        <w:rPr>
          <w:lang w:eastAsia="es-MX"/>
        </w:rPr>
        <w:t>25. Recursos Federales</w:t>
      </w:r>
    </w:p>
    <w:p w:rsidR="009F1277" w:rsidRPr="009F1277" w:rsidRDefault="009F1277" w:rsidP="006F6632">
      <w:pPr>
        <w:pStyle w:val="Texto"/>
        <w:spacing w:after="80" w:line="213" w:lineRule="exact"/>
        <w:rPr>
          <w:lang w:eastAsia="es-MX"/>
        </w:rPr>
      </w:pPr>
      <w:r w:rsidRPr="009F1277">
        <w:rPr>
          <w:lang w:eastAsia="es-MX"/>
        </w:rPr>
        <w:t>Son los que provienen de la Federación, destinados a las Entidades Federativas y los Municipios, en términ</w:t>
      </w:r>
      <w:r w:rsidRPr="009F1277">
        <w:rPr>
          <w:color w:val="000000"/>
          <w:lang w:eastAsia="es-MX"/>
        </w:rPr>
        <w:t>os de la Ley Federal de Presupuesto y Responsabilidad Hacendaria y el Presupuesto de Egresos de la Federación, que están destinados a un fin específico</w:t>
      </w:r>
      <w:r w:rsidRPr="009F1277">
        <w:rPr>
          <w:lang w:eastAsia="es-MX"/>
        </w:rPr>
        <w:t xml:space="preserve"> por concepto de aportaciones, convenios de recursos federales etiquetados y fondos distintos de aportaciones.</w:t>
      </w:r>
    </w:p>
    <w:p w:rsidR="009F1277" w:rsidRPr="009F1277" w:rsidRDefault="009F1277" w:rsidP="006F6632">
      <w:pPr>
        <w:pStyle w:val="Texto"/>
        <w:spacing w:after="80" w:line="213" w:lineRule="exact"/>
        <w:rPr>
          <w:lang w:eastAsia="es-MX"/>
        </w:rPr>
      </w:pPr>
      <w:r w:rsidRPr="009F1277">
        <w:rPr>
          <w:lang w:eastAsia="es-MX"/>
        </w:rPr>
        <w:t>26. Recursos Estatales</w:t>
      </w:r>
    </w:p>
    <w:p w:rsidR="009F1277" w:rsidRPr="009F1277" w:rsidRDefault="009F1277" w:rsidP="006F6632">
      <w:pPr>
        <w:pStyle w:val="Texto"/>
        <w:spacing w:after="80" w:line="213" w:lineRule="exact"/>
        <w:rPr>
          <w:lang w:eastAsia="es-MX"/>
        </w:rPr>
      </w:pPr>
      <w:r w:rsidRPr="009F1277">
        <w:rPr>
          <w:lang w:eastAsia="es-MX"/>
        </w:rPr>
        <w:t>En el caso de los Municipios, son los que provienen del Gobierno Estatal y que cuentan con un destino específico, en términos de la Ley de Ingresos Estatal y del Presupuesto de Egresos Estatal.</w:t>
      </w:r>
    </w:p>
    <w:p w:rsidR="009F1277" w:rsidRPr="009F1277" w:rsidRDefault="009F1277" w:rsidP="006F6632">
      <w:pPr>
        <w:pStyle w:val="Texto"/>
        <w:spacing w:line="219" w:lineRule="exact"/>
        <w:rPr>
          <w:lang w:eastAsia="es-MX"/>
        </w:rPr>
      </w:pPr>
      <w:r w:rsidRPr="009F1277">
        <w:rPr>
          <w:lang w:eastAsia="es-MX"/>
        </w:rPr>
        <w:t>27. Otros Recursos de Transferencias Federales Etiquetadas</w:t>
      </w:r>
    </w:p>
    <w:p w:rsidR="009F1277" w:rsidRPr="009F1277" w:rsidRDefault="009F1277" w:rsidP="006F6632">
      <w:pPr>
        <w:pStyle w:val="Texto"/>
        <w:spacing w:line="219" w:lineRule="exact"/>
        <w:rPr>
          <w:lang w:eastAsia="es-MX"/>
        </w:rPr>
      </w:pPr>
      <w:r w:rsidRPr="009F1277">
        <w:rPr>
          <w:lang w:eastAsia="es-MX"/>
        </w:rPr>
        <w:t>Son los que provienen de otras fuentes etiquetadas no comprendidas en los conceptos anteriores.</w:t>
      </w:r>
    </w:p>
    <w:p w:rsidR="009F1277" w:rsidRPr="009F1277" w:rsidRDefault="009F1277" w:rsidP="006F6632">
      <w:pPr>
        <w:pStyle w:val="ANOTACION"/>
        <w:spacing w:line="219" w:lineRule="exact"/>
        <w:rPr>
          <w:lang w:eastAsia="es-MX"/>
        </w:rPr>
      </w:pPr>
      <w:r w:rsidRPr="009F1277">
        <w:rPr>
          <w:lang w:eastAsia="es-MX"/>
        </w:rPr>
        <w:t>TRANSITORIOS</w:t>
      </w:r>
    </w:p>
    <w:p w:rsidR="009F1277" w:rsidRPr="009F1277" w:rsidRDefault="009F1277" w:rsidP="006F6632">
      <w:pPr>
        <w:pStyle w:val="Texto"/>
        <w:spacing w:line="219" w:lineRule="exact"/>
        <w:rPr>
          <w:lang w:eastAsia="es-MX"/>
        </w:rPr>
      </w:pPr>
      <w:r w:rsidRPr="009F1277">
        <w:rPr>
          <w:b/>
          <w:lang w:eastAsia="es-MX"/>
        </w:rPr>
        <w:t>PRIMERO.-</w:t>
      </w:r>
      <w:r w:rsidRPr="009F1277">
        <w:rPr>
          <w:lang w:eastAsia="es-MX"/>
        </w:rPr>
        <w:t xml:space="preserve"> El presente Acuerdo entrará en vigor al día siguiente de su publicación en el Diario Oficial de la Federación y se pondrá en funcionamiento de manera obligatoria a partir del ejercicio 2018.</w:t>
      </w:r>
    </w:p>
    <w:p w:rsidR="009F1277" w:rsidRPr="009F1277" w:rsidRDefault="009F1277" w:rsidP="006F6632">
      <w:pPr>
        <w:pStyle w:val="Texto"/>
        <w:spacing w:line="219" w:lineRule="exact"/>
        <w:rPr>
          <w:lang w:eastAsia="es-MX"/>
        </w:rPr>
      </w:pPr>
      <w:r w:rsidRPr="009F1277">
        <w:rPr>
          <w:b/>
          <w:lang w:eastAsia="es-MX"/>
        </w:rPr>
        <w:lastRenderedPageBreak/>
        <w:t>SEGUNDO</w:t>
      </w:r>
      <w:r w:rsidRPr="009F1277">
        <w:rPr>
          <w:lang w:eastAsia="es-MX"/>
        </w:rPr>
        <w:t>.- Durante el ejercicio 2017, los entes públicos deberán utilizar el presente Acuerdo para la elaboración tanto de la iniciativa de Ley de Ingresos como del proyecto de Presupuesto de Egresos del ejercicio 2018.</w:t>
      </w:r>
    </w:p>
    <w:p w:rsidR="009F1277" w:rsidRPr="009F1277" w:rsidRDefault="009F1277" w:rsidP="006F6632">
      <w:pPr>
        <w:pStyle w:val="Texto"/>
        <w:spacing w:line="219" w:lineRule="exact"/>
        <w:rPr>
          <w:lang w:eastAsia="es-MX"/>
        </w:rPr>
      </w:pPr>
      <w:r w:rsidRPr="009F1277">
        <w:rPr>
          <w:b/>
          <w:lang w:eastAsia="es-MX"/>
        </w:rPr>
        <w:t>TERCERO.-</w:t>
      </w:r>
      <w:r w:rsidRPr="009F1277">
        <w:rPr>
          <w:lang w:eastAsia="es-MX"/>
        </w:rPr>
        <w:t xml:space="preserve"> Las Entidades Federativas, en cumplimiento de lo dispuesto por el artículo 7, segundo párrafo, de la Ley General de Contabilidad Gubernamental deberán publicar el presente Acuerdo, en sus medios oficiales de </w:t>
      </w:r>
      <w:proofErr w:type="gramStart"/>
      <w:r w:rsidRPr="009F1277">
        <w:rPr>
          <w:lang w:eastAsia="es-MX"/>
        </w:rPr>
        <w:t>difusión escritos y electrónicos</w:t>
      </w:r>
      <w:proofErr w:type="gramEnd"/>
      <w:r w:rsidRPr="009F1277">
        <w:rPr>
          <w:lang w:eastAsia="es-MX"/>
        </w:rPr>
        <w:t>, dentro de un plazo de 30 días hábiles siguientes a la publicación del presente en el Diario Oficial de la Federación.</w:t>
      </w:r>
    </w:p>
    <w:p w:rsidR="009F1277" w:rsidRPr="009F1277" w:rsidRDefault="009F1277" w:rsidP="006F6632">
      <w:pPr>
        <w:pStyle w:val="Texto"/>
        <w:spacing w:line="219" w:lineRule="exact"/>
        <w:rPr>
          <w:lang w:eastAsia="es-MX"/>
        </w:rPr>
      </w:pPr>
      <w:r w:rsidRPr="009F1277">
        <w:rPr>
          <w:b/>
          <w:lang w:eastAsia="es-MX"/>
        </w:rPr>
        <w:t xml:space="preserve">CUARTO.- </w:t>
      </w:r>
      <w:r w:rsidRPr="009F1277">
        <w:rPr>
          <w:lang w:eastAsia="es-MX"/>
        </w:rPr>
        <w:t>En términos del artículo 15 de la Ley General de Contabilidad Gubernamental, el Secretario Técnico llevará un registro público en una página de Internet de los actos que los entes públicos de las entidades federativas, municipios y demarcaciones territoriales del Distrito Federal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9F1277" w:rsidRPr="009F1277" w:rsidRDefault="009F1277" w:rsidP="006F6632">
      <w:pPr>
        <w:pStyle w:val="Texto"/>
        <w:spacing w:line="219" w:lineRule="exact"/>
        <w:rPr>
          <w:lang w:val="es-MX" w:eastAsia="es-MX"/>
        </w:rPr>
      </w:pPr>
      <w:r w:rsidRPr="009F1277">
        <w:rPr>
          <w:lang w:val="es-MX" w:eastAsia="es-MX"/>
        </w:rPr>
        <w:t xml:space="preserve">En la Ciudad de México, siendo las catorce horas del día 9 de diciembre del año dos mil dieciséis,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w:t>
      </w:r>
      <w:r w:rsidRPr="009F1277">
        <w:rPr>
          <w:lang w:eastAsia="es-MX"/>
        </w:rPr>
        <w:t>Contable</w:t>
      </w:r>
      <w:r w:rsidRPr="009F1277">
        <w:rPr>
          <w:lang w:val="es-MX" w:eastAsia="es-MX"/>
        </w:rPr>
        <w:t>, HAGO CONSTAR Y CERTIFICO que el documento consistente 2 fojas útiles, rubricadas y cotejadas, corresponde con el texto del Acuerdo por el que se reforma y adiciona el Clasificador por Fuentes de Financiamiento, mismo que estuvo a la vista de los integrantes de dicho Consejo en su tercera reunión celebrada, en segunda convocatoria, el 9 de diciembre del presente año, situación que se certifica para los efectos legales conducentes. Rúbrica.</w:t>
      </w:r>
    </w:p>
    <w:p w:rsidR="009F1277" w:rsidRPr="009F1277" w:rsidRDefault="009F1277" w:rsidP="006F6632">
      <w:pPr>
        <w:pStyle w:val="Texto"/>
        <w:spacing w:line="219" w:lineRule="exact"/>
        <w:rPr>
          <w:lang w:eastAsia="es-MX"/>
        </w:rPr>
      </w:pPr>
      <w:r w:rsidRPr="009F1277">
        <w:rPr>
          <w:lang w:eastAsia="es-MX"/>
        </w:rPr>
        <w:t>La</w:t>
      </w:r>
      <w:r>
        <w:rPr>
          <w:b/>
          <w:lang w:eastAsia="es-MX"/>
        </w:rPr>
        <w:t xml:space="preserve"> </w:t>
      </w:r>
      <w:r w:rsidRPr="009F1277">
        <w:rPr>
          <w:lang w:eastAsia="es-MX"/>
        </w:rPr>
        <w:t>Secretaria Técnica del Consejo Nacional de Armonización Contable</w:t>
      </w:r>
      <w:r>
        <w:rPr>
          <w:lang w:eastAsia="es-MX"/>
        </w:rPr>
        <w:t xml:space="preserve">, </w:t>
      </w:r>
      <w:r w:rsidRPr="009F1277">
        <w:rPr>
          <w:b/>
          <w:lang w:eastAsia="es-MX"/>
        </w:rPr>
        <w:t>María Teresa Castro Corro</w:t>
      </w:r>
      <w:r>
        <w:rPr>
          <w:lang w:eastAsia="es-MX"/>
        </w:rPr>
        <w:t>.- Rúbrica.</w:t>
      </w:r>
    </w:p>
    <w:p w:rsidR="009F1277" w:rsidRDefault="009F1277" w:rsidP="009F1277">
      <w:pPr>
        <w:pStyle w:val="Texto"/>
        <w:rPr>
          <w:szCs w:val="18"/>
          <w:lang w:eastAsia="es-MX"/>
        </w:rPr>
      </w:pPr>
    </w:p>
    <w:p w:rsidR="009F1277" w:rsidRDefault="009F1277"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9F1277">
      <w:pPr>
        <w:pStyle w:val="Texto"/>
        <w:rPr>
          <w:szCs w:val="18"/>
          <w:lang w:eastAsia="es-MX"/>
        </w:rPr>
      </w:pPr>
    </w:p>
    <w:p w:rsidR="00394295" w:rsidRDefault="00394295" w:rsidP="0021022C">
      <w:pPr>
        <w:pStyle w:val="Texto"/>
        <w:ind w:firstLine="0"/>
        <w:rPr>
          <w:szCs w:val="18"/>
          <w:lang w:eastAsia="es-MX"/>
        </w:rPr>
      </w:pPr>
    </w:p>
    <w:sectPr w:rsidR="00394295" w:rsidSect="00DC5476">
      <w:headerReference w:type="even" r:id="rId7"/>
      <w:headerReference w:type="default" r:id="rId8"/>
      <w:pgSz w:w="12240" w:h="15840"/>
      <w:pgMar w:top="1152" w:right="1699" w:bottom="1296" w:left="1699" w:header="706" w:footer="706" w:gutter="0"/>
      <w:pgNumType w:start="6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C1" w:rsidRDefault="00DB61C1">
      <w:r>
        <w:separator/>
      </w:r>
    </w:p>
  </w:endnote>
  <w:endnote w:type="continuationSeparator" w:id="0">
    <w:p w:rsidR="00DB61C1" w:rsidRDefault="00DB6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C1" w:rsidRDefault="00DB61C1">
      <w:r>
        <w:separator/>
      </w:r>
    </w:p>
  </w:footnote>
  <w:footnote w:type="continuationSeparator" w:id="0">
    <w:p w:rsidR="00DB61C1" w:rsidRDefault="00DB6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77" w:rsidRPr="00DB613F" w:rsidRDefault="00837136" w:rsidP="009F1277">
    <w:pPr>
      <w:pStyle w:val="Fechas"/>
      <w:rPr>
        <w:rFonts w:cs="Times New Roman"/>
      </w:rPr>
    </w:pPr>
    <w:r w:rsidRPr="00DB613F">
      <w:rPr>
        <w:rFonts w:cs="Times New Roman"/>
      </w:rPr>
      <w:t xml:space="preserve">     (Primera Sección)</w:t>
    </w:r>
    <w:r w:rsidR="009F1277" w:rsidRPr="00DB613F">
      <w:rPr>
        <w:rFonts w:cs="Times New Roman"/>
      </w:rPr>
      <w:tab/>
      <w:t>DIARIO OFICIAL</w:t>
    </w:r>
    <w:r w:rsidR="009F1277" w:rsidRPr="00DB613F">
      <w:rPr>
        <w:rFonts w:cs="Times New Roman"/>
      </w:rPr>
      <w:tab/>
    </w:r>
    <w:proofErr w:type="gramStart"/>
    <w:r w:rsidR="009F1277" w:rsidRPr="00DB613F">
      <w:rPr>
        <w:rFonts w:cs="Times New Roman"/>
      </w:rPr>
      <w:t>Martes</w:t>
    </w:r>
    <w:proofErr w:type="gramEnd"/>
    <w:r w:rsidR="009F1277" w:rsidRPr="00DB613F">
      <w:rPr>
        <w:rFonts w:cs="Times New Roman"/>
      </w:rPr>
      <w:t xml:space="preserve"> </w:t>
    </w:r>
    <w:r w:rsidR="00A43B64" w:rsidRPr="00DB613F">
      <w:rPr>
        <w:rFonts w:cs="Times New Roman"/>
      </w:rPr>
      <w:t>20</w:t>
    </w:r>
    <w:r w:rsidR="009F1277" w:rsidRPr="00DB613F">
      <w:rPr>
        <w:rFonts w:cs="Times New Roman"/>
      </w:rPr>
      <w:t xml:space="preserve"> de diciembre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77" w:rsidRPr="00DB613F" w:rsidRDefault="009F1277" w:rsidP="009F1277">
    <w:pPr>
      <w:pStyle w:val="Fechas"/>
      <w:rPr>
        <w:rFonts w:cs="Times New Roman"/>
      </w:rPr>
    </w:pPr>
    <w:r w:rsidRPr="00DB613F">
      <w:rPr>
        <w:rFonts w:cs="Times New Roman"/>
      </w:rPr>
      <w:t xml:space="preserve">Martes </w:t>
    </w:r>
    <w:r w:rsidR="00A43B64" w:rsidRPr="00DB613F">
      <w:rPr>
        <w:rFonts w:cs="Times New Roman"/>
      </w:rPr>
      <w:t>20</w:t>
    </w:r>
    <w:r w:rsidRPr="00DB613F">
      <w:rPr>
        <w:rFonts w:cs="Times New Roman"/>
      </w:rPr>
      <w:t xml:space="preserve"> de diciembre de 2016</w:t>
    </w:r>
    <w:r w:rsidRPr="00DB613F">
      <w:rPr>
        <w:rFonts w:cs="Times New Roman"/>
      </w:rPr>
      <w:tab/>
      <w:t>DIARIO OFICIAL</w:t>
    </w:r>
    <w:r w:rsidRPr="00DB613F">
      <w:rPr>
        <w:rFonts w:cs="Times New Roman"/>
      </w:rPr>
      <w:tab/>
    </w:r>
    <w:r w:rsidR="00837136" w:rsidRPr="00DB613F">
      <w:rPr>
        <w:rFonts w:cs="Times New Roman"/>
      </w:rPr>
      <w:t xml:space="preserve">(Primera Sección)     </w:t>
    </w:r>
    <w:r w:rsidR="00DB613F">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9F1277"/>
    <w:rsid w:val="000579FF"/>
    <w:rsid w:val="00085CFF"/>
    <w:rsid w:val="00086357"/>
    <w:rsid w:val="000934C4"/>
    <w:rsid w:val="000B42E5"/>
    <w:rsid w:val="000C50D4"/>
    <w:rsid w:val="000F0FA3"/>
    <w:rsid w:val="000F706A"/>
    <w:rsid w:val="00105FE5"/>
    <w:rsid w:val="0010703B"/>
    <w:rsid w:val="001303A7"/>
    <w:rsid w:val="00140A5C"/>
    <w:rsid w:val="00140CB7"/>
    <w:rsid w:val="00155A7E"/>
    <w:rsid w:val="001574EC"/>
    <w:rsid w:val="001642EF"/>
    <w:rsid w:val="00176B02"/>
    <w:rsid w:val="001B6981"/>
    <w:rsid w:val="001C24CA"/>
    <w:rsid w:val="001E6CB1"/>
    <w:rsid w:val="001F6325"/>
    <w:rsid w:val="0021022C"/>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10FEA"/>
    <w:rsid w:val="00323864"/>
    <w:rsid w:val="0032394E"/>
    <w:rsid w:val="00324DDF"/>
    <w:rsid w:val="00326B04"/>
    <w:rsid w:val="00330780"/>
    <w:rsid w:val="003340A4"/>
    <w:rsid w:val="00357A6B"/>
    <w:rsid w:val="0036410B"/>
    <w:rsid w:val="003656C6"/>
    <w:rsid w:val="00373DFE"/>
    <w:rsid w:val="0039202C"/>
    <w:rsid w:val="00394295"/>
    <w:rsid w:val="003C5EB9"/>
    <w:rsid w:val="003E0440"/>
    <w:rsid w:val="003E5783"/>
    <w:rsid w:val="003E7472"/>
    <w:rsid w:val="003F16D4"/>
    <w:rsid w:val="00410B8C"/>
    <w:rsid w:val="00412ED6"/>
    <w:rsid w:val="004142D5"/>
    <w:rsid w:val="0041454F"/>
    <w:rsid w:val="0042779F"/>
    <w:rsid w:val="004352A9"/>
    <w:rsid w:val="00440349"/>
    <w:rsid w:val="00464085"/>
    <w:rsid w:val="004652D9"/>
    <w:rsid w:val="00465E99"/>
    <w:rsid w:val="004A7426"/>
    <w:rsid w:val="004B2F2C"/>
    <w:rsid w:val="004C49C6"/>
    <w:rsid w:val="004D4A72"/>
    <w:rsid w:val="004E5FEB"/>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69A9"/>
    <w:rsid w:val="006071B5"/>
    <w:rsid w:val="006231E1"/>
    <w:rsid w:val="00627360"/>
    <w:rsid w:val="00627D1A"/>
    <w:rsid w:val="00627F7E"/>
    <w:rsid w:val="0063495E"/>
    <w:rsid w:val="00634C63"/>
    <w:rsid w:val="00656CFF"/>
    <w:rsid w:val="006711A8"/>
    <w:rsid w:val="00674139"/>
    <w:rsid w:val="0067428A"/>
    <w:rsid w:val="00681BC5"/>
    <w:rsid w:val="00691836"/>
    <w:rsid w:val="0069357B"/>
    <w:rsid w:val="00697B7C"/>
    <w:rsid w:val="006B7539"/>
    <w:rsid w:val="006D2E40"/>
    <w:rsid w:val="006E2487"/>
    <w:rsid w:val="006E4EE3"/>
    <w:rsid w:val="006E66EC"/>
    <w:rsid w:val="006F6632"/>
    <w:rsid w:val="0070415B"/>
    <w:rsid w:val="00704492"/>
    <w:rsid w:val="00717A6D"/>
    <w:rsid w:val="00724703"/>
    <w:rsid w:val="00735E9D"/>
    <w:rsid w:val="00741ABD"/>
    <w:rsid w:val="00746FC8"/>
    <w:rsid w:val="007578BE"/>
    <w:rsid w:val="00797AB4"/>
    <w:rsid w:val="007A0956"/>
    <w:rsid w:val="007D00B8"/>
    <w:rsid w:val="007D286A"/>
    <w:rsid w:val="007D33CD"/>
    <w:rsid w:val="00827CE1"/>
    <w:rsid w:val="0083080F"/>
    <w:rsid w:val="00837136"/>
    <w:rsid w:val="008651ED"/>
    <w:rsid w:val="00875A59"/>
    <w:rsid w:val="0089558E"/>
    <w:rsid w:val="008A23F3"/>
    <w:rsid w:val="008B487F"/>
    <w:rsid w:val="008B5BD2"/>
    <w:rsid w:val="008D17A5"/>
    <w:rsid w:val="008E35DF"/>
    <w:rsid w:val="008E760A"/>
    <w:rsid w:val="008F7A18"/>
    <w:rsid w:val="00903D4B"/>
    <w:rsid w:val="00913D77"/>
    <w:rsid w:val="009167A0"/>
    <w:rsid w:val="009200A2"/>
    <w:rsid w:val="009329FB"/>
    <w:rsid w:val="00945F33"/>
    <w:rsid w:val="00987BEE"/>
    <w:rsid w:val="009932CA"/>
    <w:rsid w:val="00996122"/>
    <w:rsid w:val="009A7654"/>
    <w:rsid w:val="009C02DA"/>
    <w:rsid w:val="009E1AC6"/>
    <w:rsid w:val="009E3B35"/>
    <w:rsid w:val="009E63EA"/>
    <w:rsid w:val="009F050F"/>
    <w:rsid w:val="009F1277"/>
    <w:rsid w:val="00A31863"/>
    <w:rsid w:val="00A31E9B"/>
    <w:rsid w:val="00A333DC"/>
    <w:rsid w:val="00A43B64"/>
    <w:rsid w:val="00A53D31"/>
    <w:rsid w:val="00A73F8A"/>
    <w:rsid w:val="00A76032"/>
    <w:rsid w:val="00A80558"/>
    <w:rsid w:val="00A8099D"/>
    <w:rsid w:val="00A81D62"/>
    <w:rsid w:val="00A84922"/>
    <w:rsid w:val="00AD54E0"/>
    <w:rsid w:val="00B00632"/>
    <w:rsid w:val="00B14C29"/>
    <w:rsid w:val="00B170E8"/>
    <w:rsid w:val="00B3769E"/>
    <w:rsid w:val="00B63531"/>
    <w:rsid w:val="00B7008A"/>
    <w:rsid w:val="00B717B3"/>
    <w:rsid w:val="00BB041F"/>
    <w:rsid w:val="00BF091C"/>
    <w:rsid w:val="00C01B5D"/>
    <w:rsid w:val="00C258E4"/>
    <w:rsid w:val="00C4200A"/>
    <w:rsid w:val="00C82F23"/>
    <w:rsid w:val="00C9060E"/>
    <w:rsid w:val="00C96371"/>
    <w:rsid w:val="00CA2FDC"/>
    <w:rsid w:val="00CA3BBA"/>
    <w:rsid w:val="00CC0602"/>
    <w:rsid w:val="00CC39A6"/>
    <w:rsid w:val="00CC71C5"/>
    <w:rsid w:val="00CD6850"/>
    <w:rsid w:val="00CF6193"/>
    <w:rsid w:val="00D04785"/>
    <w:rsid w:val="00D32C7D"/>
    <w:rsid w:val="00D34588"/>
    <w:rsid w:val="00D42FD2"/>
    <w:rsid w:val="00D54C2F"/>
    <w:rsid w:val="00D64953"/>
    <w:rsid w:val="00D87572"/>
    <w:rsid w:val="00DA08DA"/>
    <w:rsid w:val="00DB613F"/>
    <w:rsid w:val="00DB61C1"/>
    <w:rsid w:val="00DC5476"/>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D5982"/>
    <w:rsid w:val="00EE6353"/>
    <w:rsid w:val="00EF1962"/>
    <w:rsid w:val="00EF226B"/>
    <w:rsid w:val="00F00937"/>
    <w:rsid w:val="00F22399"/>
    <w:rsid w:val="00F315C9"/>
    <w:rsid w:val="00F423AE"/>
    <w:rsid w:val="00F42E31"/>
    <w:rsid w:val="00F51E5E"/>
    <w:rsid w:val="00F64B32"/>
    <w:rsid w:val="00F70C4B"/>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28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deglobo">
    <w:name w:val="Balloon Text"/>
    <w:basedOn w:val="Normal"/>
    <w:link w:val="TextodegloboCar"/>
    <w:rsid w:val="003F16D4"/>
    <w:rPr>
      <w:rFonts w:ascii="Tahoma" w:hAnsi="Tahoma" w:cs="Tahoma"/>
      <w:sz w:val="16"/>
      <w:szCs w:val="16"/>
    </w:rPr>
  </w:style>
  <w:style w:type="character" w:customStyle="1" w:styleId="TextodegloboCar">
    <w:name w:val="Texto de globo Car"/>
    <w:link w:val="Textodeglobo"/>
    <w:rsid w:val="003F16D4"/>
    <w:rPr>
      <w:rFonts w:ascii="Tahoma" w:hAnsi="Tahoma" w:cs="Tahoma"/>
      <w:sz w:val="16"/>
      <w:szCs w:val="16"/>
      <w:lang w:val="es-ES" w:eastAsia="es-ES"/>
    </w:rPr>
  </w:style>
  <w:style w:type="paragraph" w:customStyle="1" w:styleId="Sumario">
    <w:name w:val="Sumario"/>
    <w:basedOn w:val="Normal"/>
    <w:rsid w:val="00DB613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B613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3</cp:revision>
  <cp:lastPrinted>2016-12-19T21:38:00Z</cp:lastPrinted>
  <dcterms:created xsi:type="dcterms:W3CDTF">2016-12-20T19:12:00Z</dcterms:created>
  <dcterms:modified xsi:type="dcterms:W3CDTF">2016-12-20T19:14:00Z</dcterms:modified>
</cp:coreProperties>
</file>