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83" w:rsidRPr="0005315B" w:rsidRDefault="00E43983">
      <w:pPr>
        <w:pStyle w:val="CABEZA"/>
        <w:rPr>
          <w:rFonts w:cs="Times New Roman"/>
        </w:rPr>
      </w:pPr>
      <w:r w:rsidRPr="0005315B">
        <w:rPr>
          <w:rFonts w:cs="Times New Roman"/>
        </w:rPr>
        <w:t xml:space="preserve">SECRETARIA DE HACIENDA Y CREDITO </w:t>
      </w:r>
      <w:proofErr w:type="gramStart"/>
      <w:r w:rsidRPr="0005315B">
        <w:rPr>
          <w:rFonts w:cs="Times New Roman"/>
        </w:rPr>
        <w:t>PUBLICO</w:t>
      </w:r>
      <w:proofErr w:type="gramEnd"/>
    </w:p>
    <w:p w:rsidR="00E43983" w:rsidRPr="0005315B" w:rsidRDefault="00E43983" w:rsidP="00E43983">
      <w:pPr>
        <w:pStyle w:val="Titulo1"/>
        <w:rPr>
          <w:rFonts w:cs="Times New Roman"/>
        </w:rPr>
      </w:pPr>
      <w:r w:rsidRPr="0005315B">
        <w:rPr>
          <w:rFonts w:cs="Times New Roman"/>
        </w:rPr>
        <w:t>ACUERDO por el que se reforman y adicionan las Reglas Específicas del Registro y Valoración del Patrimonio.</w:t>
      </w:r>
    </w:p>
    <w:p w:rsidR="00E43983" w:rsidRPr="00E43983" w:rsidRDefault="00E43983" w:rsidP="00B41F2A">
      <w:pPr>
        <w:pStyle w:val="Texto"/>
        <w:spacing w:after="60"/>
        <w:rPr>
          <w:szCs w:val="18"/>
          <w:lang w:val="es-MX"/>
        </w:rPr>
      </w:pPr>
    </w:p>
    <w:p w:rsidR="00E43983" w:rsidRPr="00303958" w:rsidRDefault="00E43983" w:rsidP="00ED5E55">
      <w:pPr>
        <w:pStyle w:val="Texto"/>
        <w:spacing w:after="92" w:line="314" w:lineRule="exact"/>
        <w:rPr>
          <w:szCs w:val="18"/>
        </w:rPr>
      </w:pPr>
      <w:r w:rsidRPr="00303958">
        <w:rPr>
          <w:szCs w:val="18"/>
        </w:rPr>
        <w:t>El Consejo Nacional de Armonización Contable con fundamento en los artículos 6, 7 y 9 de la Ley General de Contabilidad Gubernamental, aprobó el siguiente:</w:t>
      </w:r>
    </w:p>
    <w:p w:rsidR="00E43983" w:rsidRPr="00E43983" w:rsidRDefault="00E43983" w:rsidP="00ED5E55">
      <w:pPr>
        <w:pStyle w:val="ANOTACION"/>
        <w:spacing w:after="92" w:line="314" w:lineRule="exact"/>
      </w:pPr>
      <w:r w:rsidRPr="00E43983">
        <w:t>Acuerdo por el que se reforman y adicionan las</w:t>
      </w:r>
      <w:r w:rsidR="0005315B">
        <w:t xml:space="preserve"> </w:t>
      </w:r>
      <w:r w:rsidRPr="00E43983">
        <w:t>Reglas Específicas del Registro y Valoración del Patrimonio</w:t>
      </w:r>
    </w:p>
    <w:p w:rsidR="00E43983" w:rsidRPr="00303958" w:rsidRDefault="00E43983" w:rsidP="00ED5E55">
      <w:pPr>
        <w:pStyle w:val="ANOTACION"/>
        <w:spacing w:after="92" w:line="314" w:lineRule="exact"/>
      </w:pPr>
      <w:r w:rsidRPr="00303958">
        <w:t>Considerando</w:t>
      </w:r>
    </w:p>
    <w:p w:rsidR="00E43983" w:rsidRPr="00303958" w:rsidRDefault="00E43983" w:rsidP="00ED5E55">
      <w:pPr>
        <w:pStyle w:val="Texto"/>
        <w:spacing w:after="92" w:line="314" w:lineRule="exact"/>
        <w:rPr>
          <w:color w:val="000000"/>
          <w:szCs w:val="18"/>
        </w:rPr>
      </w:pPr>
      <w:r w:rsidRPr="00303958">
        <w:rPr>
          <w:color w:val="000000"/>
          <w:szCs w:val="18"/>
        </w:rPr>
        <w:t>Que el 13 de diciembre de 2011, se publicó en el Diario Oficial de la Federación el Acuerdo por el que se emiten las Reglas Específicas del Registro y Valoración del Patrimonio.</w:t>
      </w:r>
    </w:p>
    <w:p w:rsidR="00E43983" w:rsidRPr="00303958" w:rsidRDefault="00E43983" w:rsidP="00ED5E55">
      <w:pPr>
        <w:pStyle w:val="Texto"/>
        <w:spacing w:after="92" w:line="314" w:lineRule="exact"/>
        <w:rPr>
          <w:color w:val="000000"/>
          <w:szCs w:val="18"/>
        </w:rPr>
      </w:pPr>
      <w:r w:rsidRPr="00303958">
        <w:rPr>
          <w:color w:val="000000"/>
          <w:szCs w:val="18"/>
        </w:rPr>
        <w:t>Que la Norma Internacional de Contabilidad del Sector Público (NICS 10-Información Financiera en Economías Hiperinflacionarias) y las recomendaciones formuladas por las entidades de fiscalización superior relativas a la emisión de los lineamientos sobre la actualización del Patrimonio conforme a la normatividad contable nacional o internacional, es que se present</w:t>
      </w:r>
      <w:r>
        <w:rPr>
          <w:color w:val="000000"/>
          <w:szCs w:val="18"/>
        </w:rPr>
        <w:t>ó</w:t>
      </w:r>
      <w:r w:rsidRPr="00303958">
        <w:rPr>
          <w:color w:val="000000"/>
          <w:szCs w:val="18"/>
        </w:rPr>
        <w:t xml:space="preserve"> la propuesta de reformas y adiciones a las Reglas Específicas del Registro y Valoración del Patrimonio.</w:t>
      </w:r>
    </w:p>
    <w:p w:rsidR="00E43983" w:rsidRPr="00303958" w:rsidRDefault="00E43983" w:rsidP="00ED5E55">
      <w:pPr>
        <w:pStyle w:val="Texto"/>
        <w:spacing w:after="92" w:line="314" w:lineRule="exact"/>
        <w:rPr>
          <w:color w:val="000000"/>
          <w:szCs w:val="18"/>
        </w:rPr>
      </w:pPr>
      <w:r w:rsidRPr="00303958">
        <w:rPr>
          <w:color w:val="000000"/>
          <w:szCs w:val="18"/>
        </w:rPr>
        <w:t>Que el Acuerdo por el que se determina la norma de información financiera para precisar los alcances del Acuerdo 1 aprobado por el Consejo Nacional de Armonización Contable, publicado en el Diario Oficial de la Federación el 8 de Agosto de 2013, en el que se establecen los plazos para realizar la conciliación física y contable de los bienes de los entes públicos, en la reforma a la norma se precisa el registro contable de las diferencias resultantes de la conciliación antes citada.</w:t>
      </w:r>
    </w:p>
    <w:p w:rsidR="00E43983" w:rsidRPr="00303958" w:rsidRDefault="00E43983" w:rsidP="00ED5E55">
      <w:pPr>
        <w:pStyle w:val="Texto"/>
        <w:spacing w:after="92" w:line="324" w:lineRule="exact"/>
        <w:rPr>
          <w:color w:val="000000"/>
          <w:szCs w:val="18"/>
        </w:rPr>
      </w:pPr>
      <w:r w:rsidRPr="00303958">
        <w:rPr>
          <w:color w:val="000000"/>
          <w:szCs w:val="18"/>
        </w:rPr>
        <w:t xml:space="preserve">Que la clasificación de infraestructura del activo no circulante es el resultado de una obra en proceso, se señalan los supuestos en los cuales dicha infraestructura es capitalizable, o en su caso es obra de domino </w:t>
      </w:r>
      <w:proofErr w:type="gramStart"/>
      <w:r w:rsidRPr="00303958">
        <w:rPr>
          <w:color w:val="000000"/>
          <w:szCs w:val="18"/>
        </w:rPr>
        <w:t>público</w:t>
      </w:r>
      <w:proofErr w:type="gramEnd"/>
      <w:r w:rsidRPr="00303958">
        <w:rPr>
          <w:color w:val="000000"/>
          <w:szCs w:val="18"/>
        </w:rPr>
        <w:t xml:space="preserve"> y su registro contable correspondiente.</w:t>
      </w:r>
    </w:p>
    <w:p w:rsidR="00E43983" w:rsidRPr="00303958" w:rsidRDefault="00E43983" w:rsidP="00ED5E55">
      <w:pPr>
        <w:pStyle w:val="Texto"/>
        <w:spacing w:after="92" w:line="324" w:lineRule="exact"/>
      </w:pPr>
      <w:r w:rsidRPr="00303958">
        <w:t>Por lo antes expuesto, el Consejo Nacional de Armonización Contable aprobó el siguiente:</w:t>
      </w:r>
    </w:p>
    <w:p w:rsidR="00E43983" w:rsidRPr="00303958" w:rsidRDefault="00E43983" w:rsidP="00ED5E55">
      <w:pPr>
        <w:pStyle w:val="Texto"/>
        <w:spacing w:after="92" w:line="324" w:lineRule="exact"/>
        <w:rPr>
          <w:b/>
        </w:rPr>
      </w:pPr>
      <w:r w:rsidRPr="00303958">
        <w:rPr>
          <w:b/>
        </w:rPr>
        <w:t>Acuerdo por el que se reforman y adicionan las Reglas Específicas del Registro y Valoración del Patrimonio.</w:t>
      </w:r>
    </w:p>
    <w:p w:rsidR="00E43983" w:rsidRPr="00303958" w:rsidRDefault="00E43983" w:rsidP="00ED5E55">
      <w:pPr>
        <w:pStyle w:val="Texto"/>
        <w:spacing w:after="92" w:line="324" w:lineRule="exact"/>
        <w:rPr>
          <w:b/>
        </w:rPr>
      </w:pPr>
      <w:r w:rsidRPr="00303958">
        <w:t>Se reforman los numerales 2.2 en su segundo párrafo, 2.4, 9 y 14, para quedar como sigue:</w:t>
      </w:r>
    </w:p>
    <w:p w:rsidR="00E43983" w:rsidRPr="00303958" w:rsidRDefault="00E43983" w:rsidP="00ED5E55">
      <w:pPr>
        <w:pStyle w:val="Texto"/>
        <w:spacing w:after="92" w:line="324" w:lineRule="exact"/>
        <w:rPr>
          <w:b/>
        </w:rPr>
      </w:pPr>
      <w:r w:rsidRPr="00303958">
        <w:rPr>
          <w:b/>
        </w:rPr>
        <w:t>B. Reglas Específicas del Registro y Valoración del Activo.</w:t>
      </w:r>
    </w:p>
    <w:p w:rsidR="00E43983" w:rsidRPr="00303958" w:rsidRDefault="00E43983" w:rsidP="00ED5E55">
      <w:pPr>
        <w:pStyle w:val="Texto"/>
        <w:spacing w:after="92" w:line="324" w:lineRule="exact"/>
      </w:pPr>
      <w:proofErr w:type="gramStart"/>
      <w:r w:rsidRPr="00303958">
        <w:t xml:space="preserve">2.2 </w:t>
      </w:r>
      <w:r w:rsidR="00EB42BF" w:rsidRPr="00EB42BF">
        <w:rPr>
          <w:b/>
        </w:rPr>
        <w:t>…</w:t>
      </w:r>
      <w:proofErr w:type="gramEnd"/>
    </w:p>
    <w:p w:rsidR="00E43983" w:rsidRPr="007F771E" w:rsidRDefault="00EB42BF" w:rsidP="00ED5E55">
      <w:pPr>
        <w:pStyle w:val="Texto"/>
        <w:spacing w:after="92" w:line="324" w:lineRule="exact"/>
        <w:rPr>
          <w:b/>
        </w:rPr>
      </w:pPr>
      <w:r w:rsidRPr="00EB42BF">
        <w:rPr>
          <w:b/>
        </w:rPr>
        <w:t>…</w:t>
      </w:r>
    </w:p>
    <w:p w:rsidR="00E43983" w:rsidRPr="00303958" w:rsidRDefault="00E43983" w:rsidP="00ED5E55">
      <w:pPr>
        <w:pStyle w:val="Texto"/>
        <w:spacing w:after="92" w:line="324" w:lineRule="exact"/>
      </w:pPr>
      <w:r w:rsidRPr="00303958">
        <w:t>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rsidR="00E43983" w:rsidRPr="00303958" w:rsidRDefault="00E43983" w:rsidP="00ED5E55">
      <w:pPr>
        <w:pStyle w:val="Texto"/>
        <w:spacing w:after="92" w:line="324" w:lineRule="exact"/>
      </w:pPr>
      <w:r w:rsidRPr="00303958">
        <w:t>2.4 Infraestructura.</w:t>
      </w:r>
    </w:p>
    <w:p w:rsidR="00E43983" w:rsidRPr="00303958" w:rsidRDefault="00E43983" w:rsidP="00ED5E55">
      <w:pPr>
        <w:pStyle w:val="Texto"/>
        <w:spacing w:after="92" w:line="324" w:lineRule="exact"/>
      </w:pPr>
      <w:r w:rsidRPr="00303958">
        <w:t>La Infraestructura son activos no circulantes, que:</w:t>
      </w:r>
    </w:p>
    <w:p w:rsidR="00E43983" w:rsidRPr="00303958" w:rsidRDefault="00E43983" w:rsidP="00ED5E55">
      <w:pPr>
        <w:pStyle w:val="Texto"/>
        <w:numPr>
          <w:ilvl w:val="0"/>
          <w:numId w:val="1"/>
        </w:numPr>
        <w:tabs>
          <w:tab w:val="left" w:pos="720"/>
        </w:tabs>
        <w:spacing w:after="92" w:line="324" w:lineRule="exact"/>
        <w:ind w:left="720" w:hanging="432"/>
      </w:pPr>
      <w:r w:rsidRPr="00303958">
        <w:t xml:space="preserve">Se materializan por obras de ingeniería civil o en inmuebles; </w:t>
      </w:r>
    </w:p>
    <w:p w:rsidR="00E43983" w:rsidRPr="00303958" w:rsidRDefault="00E43983" w:rsidP="00ED5E55">
      <w:pPr>
        <w:pStyle w:val="Texto"/>
        <w:numPr>
          <w:ilvl w:val="0"/>
          <w:numId w:val="1"/>
        </w:numPr>
        <w:tabs>
          <w:tab w:val="left" w:pos="720"/>
        </w:tabs>
        <w:spacing w:after="92" w:line="324" w:lineRule="exact"/>
        <w:ind w:left="720" w:hanging="432"/>
      </w:pPr>
      <w:r w:rsidRPr="00303958">
        <w:lastRenderedPageBreak/>
        <w:t>Son utilizados por la generalidad de los ciudadanos o destinados a la prestación de servicios públicos;</w:t>
      </w:r>
    </w:p>
    <w:p w:rsidR="00E43983" w:rsidRPr="00303958" w:rsidRDefault="00E43983" w:rsidP="00ED5E55">
      <w:pPr>
        <w:pStyle w:val="Texto"/>
        <w:numPr>
          <w:ilvl w:val="0"/>
          <w:numId w:val="1"/>
        </w:numPr>
        <w:tabs>
          <w:tab w:val="left" w:pos="720"/>
        </w:tabs>
        <w:spacing w:after="92" w:line="324" w:lineRule="exact"/>
        <w:ind w:left="720" w:hanging="432"/>
      </w:pPr>
      <w:r w:rsidRPr="00303958">
        <w:t>Son obtenidos a título oneroso o gratuito, o construidos por el ente público;</w:t>
      </w:r>
    </w:p>
    <w:p w:rsidR="00E43983" w:rsidRPr="00303958" w:rsidRDefault="00E43983" w:rsidP="00ED5E55">
      <w:pPr>
        <w:pStyle w:val="Texto"/>
        <w:numPr>
          <w:ilvl w:val="0"/>
          <w:numId w:val="1"/>
        </w:numPr>
        <w:tabs>
          <w:tab w:val="left" w:pos="720"/>
        </w:tabs>
        <w:spacing w:after="92" w:line="324" w:lineRule="exact"/>
        <w:ind w:left="720" w:hanging="432"/>
      </w:pPr>
      <w:r w:rsidRPr="00303958">
        <w:t>Son parte de un sistema o red, y</w:t>
      </w:r>
    </w:p>
    <w:p w:rsidR="00E43983" w:rsidRPr="00303958" w:rsidRDefault="00E43983" w:rsidP="00ED5E55">
      <w:pPr>
        <w:pStyle w:val="Texto"/>
        <w:numPr>
          <w:ilvl w:val="0"/>
          <w:numId w:val="1"/>
        </w:numPr>
        <w:tabs>
          <w:tab w:val="left" w:pos="720"/>
        </w:tabs>
        <w:spacing w:after="92" w:line="324" w:lineRule="exact"/>
        <w:ind w:left="720" w:hanging="432"/>
      </w:pPr>
      <w:r w:rsidRPr="00303958">
        <w:t>Tienen una finalidad específica que no suele admitir otros usos alternativos.</w:t>
      </w:r>
    </w:p>
    <w:p w:rsidR="00E43983" w:rsidRPr="00303958" w:rsidRDefault="00E43983" w:rsidP="00ED5E55">
      <w:pPr>
        <w:pStyle w:val="Texto"/>
        <w:spacing w:after="92" w:line="324" w:lineRule="exact"/>
      </w:pPr>
      <w:r w:rsidRPr="00303958">
        <w:t>La inversión en infraestructura, atendiendo a lo dispuesto por el artículo 29 de la Ley General de Contabilidad Gubernamental, mientras se encuentre en proceso, se registra atendiendo al Plan de Cuentas, en la cuenta 1.2.3.5 Construcciones en proceso en bienes de dominio público o en la cuenta 1.2.3.6 Construcciones en proceso en bienes propios.</w:t>
      </w:r>
    </w:p>
    <w:p w:rsidR="00E43983" w:rsidRPr="00303958" w:rsidRDefault="00E43983" w:rsidP="00ED5E55">
      <w:pPr>
        <w:pStyle w:val="Texto"/>
        <w:spacing w:after="92" w:line="324" w:lineRule="exact"/>
      </w:pPr>
      <w:r w:rsidRPr="00303958">
        <w:t>Una vez concluida, si la inversión es realizada en bienes de dominio público, en los bienes de uso común, o que sean consideradas obras del dominio público, se registran en los términos del numeral 2.2 antes mencionado. En los casos de las obras transferibles, se registran en los términos del numeral 2.3 antes mencionado. En el caso de obras capitalizables, se estará a lo dispuesto en el numeral 2.1 antes referido.</w:t>
      </w:r>
    </w:p>
    <w:p w:rsidR="00E43983" w:rsidRPr="00303958" w:rsidRDefault="00E43983" w:rsidP="00ED5E55">
      <w:pPr>
        <w:pStyle w:val="Texto"/>
        <w:spacing w:line="324" w:lineRule="exact"/>
        <w:rPr>
          <w:b/>
        </w:rPr>
      </w:pPr>
      <w:r w:rsidRPr="00303958">
        <w:rPr>
          <w:b/>
        </w:rPr>
        <w:t>9. Diferencias obtenidas de la conciliación física-contable y de la baja de bienes</w:t>
      </w:r>
    </w:p>
    <w:p w:rsidR="00E43983" w:rsidRPr="00303958" w:rsidRDefault="00E43983" w:rsidP="00ED5E55">
      <w:pPr>
        <w:pStyle w:val="Texto"/>
        <w:spacing w:line="324" w:lineRule="exact"/>
      </w:pPr>
      <w:r w:rsidRPr="00303958">
        <w:t>El reconocimiento inicial de las diferencias, tanto de existencias como de valores, que se obtengan como resultado de la conciliación física-contable de los bienes muebles, inmuebles e intangibles de los entes públicos, se reconocerán afectando las cuentas correspondientes al rubro 3.2.2 Resultados de Ejercicios Anteriores y a la cuenta del grupo Activo No Circulante correspondiente. Lo anterior, independientemente de los procedimientos administrativos que deban realizarse de acuerdo a la normatividad correspondiente.</w:t>
      </w:r>
    </w:p>
    <w:p w:rsidR="00E43983" w:rsidRPr="00303958" w:rsidRDefault="00E43983" w:rsidP="00ED5E55">
      <w:pPr>
        <w:pStyle w:val="Texto"/>
        <w:spacing w:line="308" w:lineRule="exact"/>
      </w:pPr>
      <w:r w:rsidRPr="00303958">
        <w:t>Las diferencias posteriores de valores que se obtengan como resultado de la conciliación física-contable de los bienes muebles, inmuebles e intangibles de los entes públicos, se reconocerán afectando las cuentas correspondientes al rubro 3.2.3 Revalúos y a la cuenta del grupo Activo No Circulante correspondiente.</w:t>
      </w:r>
    </w:p>
    <w:p w:rsidR="00E43983" w:rsidRPr="00303958" w:rsidRDefault="00E43983" w:rsidP="00ED5E55">
      <w:pPr>
        <w:pStyle w:val="Texto"/>
        <w:spacing w:line="308" w:lineRule="exact"/>
      </w:pPr>
      <w:r w:rsidRPr="00303958">
        <w:t>Para el caso de la baja de bienes derivada, entre otros, por pérdida, obsolescencia, deterioro, extravío, robo o siniestro, ésta se registrará mediante abono a la cuenta de Activo no circulante que corresponda y un cargo a la cuenta 5.5.1.8 Disminución de Bienes por pérdida, obsolescencia y deterioro. Lo anterior independientemente de los procedimientos administrativos que deban realizarse de acuerdo a la normatividad correspondiente.</w:t>
      </w:r>
    </w:p>
    <w:p w:rsidR="00E43983" w:rsidRPr="00303958" w:rsidRDefault="00E43983" w:rsidP="00ED5E55">
      <w:pPr>
        <w:pStyle w:val="Texto"/>
        <w:spacing w:line="308" w:lineRule="exact"/>
        <w:rPr>
          <w:b/>
        </w:rPr>
      </w:pPr>
      <w:r w:rsidRPr="00303958">
        <w:rPr>
          <w:b/>
        </w:rPr>
        <w:t>14. Actualización de la Hacienda Pública / Patrimonio</w:t>
      </w:r>
    </w:p>
    <w:p w:rsidR="00E43983" w:rsidRPr="00303958" w:rsidRDefault="00E43983" w:rsidP="00ED5E55">
      <w:pPr>
        <w:pStyle w:val="Texto"/>
        <w:spacing w:line="308" w:lineRule="exact"/>
      </w:pPr>
      <w:r w:rsidRPr="00303958">
        <w:t>Atendiendo a la Norma Internacional de Contabilidad del Sector Público (NICS 10-Información Financiera en Economías Hiperinflacionarias), se deberá actualizar el patrimonio cuando el Índice Nacional de Precios al Consumidor acumulada durante un periodo de tres años sea igual o superior al 100%.</w:t>
      </w:r>
    </w:p>
    <w:p w:rsidR="00E43983" w:rsidRPr="00303958" w:rsidRDefault="00E43983" w:rsidP="00ED5E55">
      <w:pPr>
        <w:pStyle w:val="Texto"/>
        <w:spacing w:line="308" w:lineRule="exact"/>
      </w:pPr>
      <w:r w:rsidRPr="00303958">
        <w:t>El efecto de la actualización de las cuentas de activo, pasivo y patrimonio (reexpresión) se realizará contra la cuenta 3.1.3 Actualización de la Hacienda Pública/Patrimonio.</w:t>
      </w:r>
    </w:p>
    <w:p w:rsidR="00E43983" w:rsidRPr="00303958" w:rsidRDefault="00E43983" w:rsidP="00ED5E55">
      <w:pPr>
        <w:pStyle w:val="ANOTACION"/>
        <w:spacing w:line="308" w:lineRule="exact"/>
      </w:pPr>
      <w:r w:rsidRPr="00303958">
        <w:t>TRANSITORIOS</w:t>
      </w:r>
    </w:p>
    <w:p w:rsidR="00E43983" w:rsidRPr="00303958" w:rsidRDefault="00E43983" w:rsidP="00ED5E55">
      <w:pPr>
        <w:pStyle w:val="Texto"/>
        <w:spacing w:line="308" w:lineRule="exact"/>
      </w:pPr>
      <w:r w:rsidRPr="00303958">
        <w:rPr>
          <w:b/>
        </w:rPr>
        <w:t>PRIMERO.-</w:t>
      </w:r>
      <w:r w:rsidRPr="00303958">
        <w:t xml:space="preserve"> El </w:t>
      </w:r>
      <w:r w:rsidRPr="00A241F3">
        <w:rPr>
          <w:rFonts w:eastAsia="Calibri"/>
          <w:lang w:val="es-MX" w:eastAsia="en-US"/>
        </w:rPr>
        <w:t>presente</w:t>
      </w:r>
      <w:r w:rsidRPr="00303958">
        <w:t xml:space="preserve"> Acuerdo entrará en vigor a partir del día siguiente de su publicación en el Diario Oficial de la Federación.</w:t>
      </w:r>
    </w:p>
    <w:p w:rsidR="00E43983" w:rsidRPr="00303958" w:rsidRDefault="00E43983" w:rsidP="00ED5E55">
      <w:pPr>
        <w:pStyle w:val="Texto"/>
        <w:spacing w:line="308" w:lineRule="exact"/>
      </w:pPr>
      <w:r w:rsidRPr="00303958">
        <w:rPr>
          <w:b/>
        </w:rPr>
        <w:lastRenderedPageBreak/>
        <w:t xml:space="preserve">SEGUNDO.- </w:t>
      </w:r>
      <w:r w:rsidRPr="00303958">
        <w:t xml:space="preserve">Las entidades federativas, en cumplimiento de lo dispuesto por el artículo 7, segundo párrafo, de la Ley General de Contabilidad </w:t>
      </w:r>
      <w:r w:rsidRPr="00A241F3">
        <w:rPr>
          <w:rFonts w:eastAsia="Calibri"/>
          <w:lang w:val="es-MX" w:eastAsia="en-US"/>
        </w:rPr>
        <w:t>Gubernamental</w:t>
      </w:r>
      <w:r w:rsidRPr="00303958">
        <w:t xml:space="preserve"> deberán publicar el presente Acuerdo, en sus medios oficiales de difusión escritos y electrónicos, dentro de un plazo de 30 días hábiles siguientes a la publicación del presente en el Diario Oficial de la Federación.</w:t>
      </w:r>
    </w:p>
    <w:p w:rsidR="00E43983" w:rsidRPr="00303958" w:rsidRDefault="00E43983" w:rsidP="00ED5E55">
      <w:pPr>
        <w:pStyle w:val="Texto"/>
        <w:spacing w:line="308" w:lineRule="exact"/>
      </w:pPr>
      <w:r w:rsidRPr="00303958">
        <w:rPr>
          <w:b/>
        </w:rPr>
        <w:t>TERCERO.-</w:t>
      </w:r>
      <w:r w:rsidRPr="00303958">
        <w:t xml:space="preserve"> Los </w:t>
      </w:r>
      <w:r w:rsidRPr="00A241F3">
        <w:rPr>
          <w:rFonts w:eastAsia="Calibri"/>
          <w:lang w:val="es-MX" w:eastAsia="en-US"/>
        </w:rPr>
        <w:t>gobier</w:t>
      </w:r>
      <w:bookmarkStart w:id="0" w:name="_GoBack"/>
      <w:bookmarkEnd w:id="0"/>
      <w:r w:rsidRPr="00A241F3">
        <w:rPr>
          <w:rFonts w:eastAsia="Calibri"/>
          <w:lang w:val="es-MX" w:eastAsia="en-US"/>
        </w:rPr>
        <w:t>nos</w:t>
      </w:r>
      <w:r w:rsidRPr="00303958">
        <w:t xml:space="preserve"> de las entidades federativas y los ayuntamientos de los municipios remitirán al Secretario Técnico la información relacionada con los actos que realicen para implementar el presente Acuerdo. Dicha información deberá ser enviada a la dirección electrónica conac_sriotecnico@hacienda.gob.mx, dentro de un plazo de 15 días hábiles contados a partir de la conclusión del plazo fijado en el artículo anterior. Los municipios podrán remitir la información a que se refiere el presente transitorio por correo ordinario, a la atención del Secretario Técnico del CONAC, en el domicilio de Constituyentes 1001, Colonia Belén de las Flores, Delegación Álvaro Obregón, México, D.F., C.P. 01110.</w:t>
      </w:r>
    </w:p>
    <w:p w:rsidR="00E43983" w:rsidRPr="00303958" w:rsidRDefault="00E43983" w:rsidP="00ED5E55">
      <w:pPr>
        <w:pStyle w:val="Texto"/>
        <w:spacing w:line="308" w:lineRule="exact"/>
      </w:pPr>
      <w:r w:rsidRPr="00303958">
        <w:t>En la Ciudad de México, siendo las diecinueve</w:t>
      </w:r>
      <w:r>
        <w:t xml:space="preserve"> treinta</w:t>
      </w:r>
      <w:r w:rsidRPr="00303958">
        <w:t xml:space="preserve">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303958">
        <w:rPr>
          <w:b/>
        </w:rPr>
        <w:t>HAGO CONSTAR Y CERTIFICO</w:t>
      </w:r>
      <w:r w:rsidRPr="00303958">
        <w:t xml:space="preserve"> que el documento consistente en 1 foja útil, corresponde con el texto del Acuerdo por el que se reforman y adicionan las Reglas Específicas del Registro y Valoración del Patrimonio, aprobado por el Consejo Nacional de Armonización Contable, mismo que estuvo a la vista de los integrantes de dicho Consejo en su segunda reunión celebrada, en segunda convocatoria, el 24 de septiembre del presente año, situación que se certifica para los efectos legales conducentes. Rúbrica.</w:t>
      </w:r>
    </w:p>
    <w:p w:rsidR="00E43983" w:rsidRDefault="00E43983" w:rsidP="00ED5E55">
      <w:pPr>
        <w:pStyle w:val="Texto"/>
        <w:spacing w:line="308" w:lineRule="exact"/>
      </w:pPr>
      <w:r w:rsidRPr="00E43983">
        <w:rPr>
          <w:bCs/>
        </w:rPr>
        <w:t>El Secretario Técnico del Consejo Nacional de Armonización Contable</w:t>
      </w:r>
      <w:r>
        <w:rPr>
          <w:bCs/>
        </w:rPr>
        <w:t xml:space="preserve">, </w:t>
      </w:r>
      <w:r w:rsidRPr="00303958">
        <w:rPr>
          <w:b/>
          <w:bCs/>
        </w:rPr>
        <w:t>Juan Manuel Alcocer Gamba</w:t>
      </w:r>
      <w:r>
        <w:t>.- Rúbrica.</w:t>
      </w:r>
    </w:p>
    <w:sectPr w:rsidR="00E43983" w:rsidSect="00A95BCC">
      <w:headerReference w:type="even" r:id="rId7"/>
      <w:headerReference w:type="default" r:id="rId8"/>
      <w:footerReference w:type="default" r:id="rId9"/>
      <w:pgSz w:w="12240" w:h="15840" w:code="1"/>
      <w:pgMar w:top="1152" w:right="1699" w:bottom="1296" w:left="1699" w:header="706" w:footer="706"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5B" w:rsidRDefault="006B275B">
      <w:r>
        <w:separator/>
      </w:r>
    </w:p>
  </w:endnote>
  <w:endnote w:type="continuationSeparator" w:id="0">
    <w:p w:rsidR="006B275B" w:rsidRDefault="006B2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705572" w:rsidRDefault="00BE42B6" w:rsidP="00705572">
    <w:pPr>
      <w:pStyle w:val="Tex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5B" w:rsidRDefault="006B275B">
      <w:r>
        <w:separator/>
      </w:r>
    </w:p>
  </w:footnote>
  <w:footnote w:type="continuationSeparator" w:id="0">
    <w:p w:rsidR="006B275B" w:rsidRDefault="006B2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fldSimple w:instr="PAGE   \* MERGEFORMAT">
      <w:r w:rsidR="00A95BCC" w:rsidRPr="00A95BCC">
        <w:rPr>
          <w:noProof/>
          <w:lang w:val="es-ES"/>
        </w:rPr>
        <w:t>6</w:t>
      </w:r>
    </w:fldSimple>
    <w:r>
      <w:t xml:space="preserve">     (Primera Sección)</w:t>
    </w:r>
    <w:r>
      <w:tab/>
      <w:t>DIARIO OFICIAL</w:t>
    </w:r>
    <w:r>
      <w:tab/>
      <w:t>Lunes 6 de octubre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r>
      <w:t>Lunes 6 de octubre de 2014</w:t>
    </w:r>
    <w:r>
      <w:tab/>
      <w:t>DIARIO OFICIAL</w:t>
    </w:r>
    <w:r>
      <w:tab/>
      <w:t xml:space="preserve">(Primera Sección)     </w:t>
    </w:r>
    <w:fldSimple w:instr="PAGE   \* MERGEFORMAT">
      <w:r w:rsidR="00A95BCC" w:rsidRPr="00A95BCC">
        <w:rPr>
          <w:noProof/>
          <w:lang w:val="es-ES"/>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E43983"/>
    <w:rsid w:val="0000411E"/>
    <w:rsid w:val="000069C5"/>
    <w:rsid w:val="0004244C"/>
    <w:rsid w:val="0005315B"/>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103C"/>
    <w:rsid w:val="001642EF"/>
    <w:rsid w:val="00176B02"/>
    <w:rsid w:val="001A0142"/>
    <w:rsid w:val="001B6981"/>
    <w:rsid w:val="001E6CB1"/>
    <w:rsid w:val="001F6325"/>
    <w:rsid w:val="002214D8"/>
    <w:rsid w:val="002335FD"/>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A78AB"/>
    <w:rsid w:val="003C5EB9"/>
    <w:rsid w:val="003D0641"/>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C7B17"/>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B7010"/>
    <w:rsid w:val="005C4019"/>
    <w:rsid w:val="005C75DE"/>
    <w:rsid w:val="005D7D14"/>
    <w:rsid w:val="005E5B4E"/>
    <w:rsid w:val="006231E1"/>
    <w:rsid w:val="00627360"/>
    <w:rsid w:val="00627D1A"/>
    <w:rsid w:val="0063495E"/>
    <w:rsid w:val="00634C63"/>
    <w:rsid w:val="00656CFF"/>
    <w:rsid w:val="00664F4E"/>
    <w:rsid w:val="006711A8"/>
    <w:rsid w:val="00674139"/>
    <w:rsid w:val="0067451C"/>
    <w:rsid w:val="00681BC5"/>
    <w:rsid w:val="00691836"/>
    <w:rsid w:val="0069357B"/>
    <w:rsid w:val="00697B7C"/>
    <w:rsid w:val="006B275B"/>
    <w:rsid w:val="006B7539"/>
    <w:rsid w:val="006B7754"/>
    <w:rsid w:val="006D2E40"/>
    <w:rsid w:val="006E2487"/>
    <w:rsid w:val="006E4EE3"/>
    <w:rsid w:val="006E66EC"/>
    <w:rsid w:val="006F1E01"/>
    <w:rsid w:val="0070415B"/>
    <w:rsid w:val="00705572"/>
    <w:rsid w:val="00717A6D"/>
    <w:rsid w:val="00724703"/>
    <w:rsid w:val="00735E9D"/>
    <w:rsid w:val="00737435"/>
    <w:rsid w:val="00741ABD"/>
    <w:rsid w:val="00746606"/>
    <w:rsid w:val="00746FC8"/>
    <w:rsid w:val="007578BE"/>
    <w:rsid w:val="00797AB4"/>
    <w:rsid w:val="007A0956"/>
    <w:rsid w:val="007B22D9"/>
    <w:rsid w:val="007D00B8"/>
    <w:rsid w:val="007D286A"/>
    <w:rsid w:val="007F3BE9"/>
    <w:rsid w:val="007F771E"/>
    <w:rsid w:val="00802693"/>
    <w:rsid w:val="0080651E"/>
    <w:rsid w:val="00820E17"/>
    <w:rsid w:val="0082552E"/>
    <w:rsid w:val="00827CE1"/>
    <w:rsid w:val="0083080F"/>
    <w:rsid w:val="008377D9"/>
    <w:rsid w:val="008651ED"/>
    <w:rsid w:val="00866A97"/>
    <w:rsid w:val="00875A59"/>
    <w:rsid w:val="0089558E"/>
    <w:rsid w:val="008A23F3"/>
    <w:rsid w:val="008B5BD2"/>
    <w:rsid w:val="008D17A5"/>
    <w:rsid w:val="008D2443"/>
    <w:rsid w:val="008E35DF"/>
    <w:rsid w:val="008F7A18"/>
    <w:rsid w:val="00913D77"/>
    <w:rsid w:val="009167A0"/>
    <w:rsid w:val="009200A2"/>
    <w:rsid w:val="009329FB"/>
    <w:rsid w:val="00945F33"/>
    <w:rsid w:val="00953502"/>
    <w:rsid w:val="00970902"/>
    <w:rsid w:val="009932CA"/>
    <w:rsid w:val="009A7654"/>
    <w:rsid w:val="009C02DA"/>
    <w:rsid w:val="009E1AC6"/>
    <w:rsid w:val="009E3B35"/>
    <w:rsid w:val="009E415F"/>
    <w:rsid w:val="009E63EA"/>
    <w:rsid w:val="009F050F"/>
    <w:rsid w:val="009F18A3"/>
    <w:rsid w:val="00A31E9B"/>
    <w:rsid w:val="00A333DC"/>
    <w:rsid w:val="00A350F2"/>
    <w:rsid w:val="00A52466"/>
    <w:rsid w:val="00A53D31"/>
    <w:rsid w:val="00A71D72"/>
    <w:rsid w:val="00A73F8A"/>
    <w:rsid w:val="00A76032"/>
    <w:rsid w:val="00A8099D"/>
    <w:rsid w:val="00A81D62"/>
    <w:rsid w:val="00A84922"/>
    <w:rsid w:val="00A90C04"/>
    <w:rsid w:val="00A9295A"/>
    <w:rsid w:val="00A95BCC"/>
    <w:rsid w:val="00AA362F"/>
    <w:rsid w:val="00AC6F5A"/>
    <w:rsid w:val="00AD54E0"/>
    <w:rsid w:val="00AF71E1"/>
    <w:rsid w:val="00B00632"/>
    <w:rsid w:val="00B14C29"/>
    <w:rsid w:val="00B170E8"/>
    <w:rsid w:val="00B3769E"/>
    <w:rsid w:val="00B41808"/>
    <w:rsid w:val="00B41F2A"/>
    <w:rsid w:val="00B465EB"/>
    <w:rsid w:val="00B63531"/>
    <w:rsid w:val="00B7008A"/>
    <w:rsid w:val="00B717B3"/>
    <w:rsid w:val="00BE42B6"/>
    <w:rsid w:val="00BF091C"/>
    <w:rsid w:val="00C01B5D"/>
    <w:rsid w:val="00C258E4"/>
    <w:rsid w:val="00C461BF"/>
    <w:rsid w:val="00C54322"/>
    <w:rsid w:val="00C72F0B"/>
    <w:rsid w:val="00C9060E"/>
    <w:rsid w:val="00C90DDD"/>
    <w:rsid w:val="00C96371"/>
    <w:rsid w:val="00CA2FDC"/>
    <w:rsid w:val="00CA3BBA"/>
    <w:rsid w:val="00CC00A9"/>
    <w:rsid w:val="00CC0602"/>
    <w:rsid w:val="00CC256B"/>
    <w:rsid w:val="00CC39A6"/>
    <w:rsid w:val="00CC71C5"/>
    <w:rsid w:val="00CD6850"/>
    <w:rsid w:val="00CE2DD9"/>
    <w:rsid w:val="00CE67E8"/>
    <w:rsid w:val="00CF6193"/>
    <w:rsid w:val="00D04785"/>
    <w:rsid w:val="00D126EA"/>
    <w:rsid w:val="00D32C7D"/>
    <w:rsid w:val="00D34588"/>
    <w:rsid w:val="00D3478E"/>
    <w:rsid w:val="00D41C08"/>
    <w:rsid w:val="00D42FD2"/>
    <w:rsid w:val="00D54C2F"/>
    <w:rsid w:val="00D64953"/>
    <w:rsid w:val="00D77000"/>
    <w:rsid w:val="00D809F4"/>
    <w:rsid w:val="00D81548"/>
    <w:rsid w:val="00D819F5"/>
    <w:rsid w:val="00D87572"/>
    <w:rsid w:val="00DA1BE4"/>
    <w:rsid w:val="00DA7A26"/>
    <w:rsid w:val="00DD16C7"/>
    <w:rsid w:val="00DD6205"/>
    <w:rsid w:val="00DE4C7A"/>
    <w:rsid w:val="00DE6424"/>
    <w:rsid w:val="00DF6036"/>
    <w:rsid w:val="00DF6BC3"/>
    <w:rsid w:val="00E027A3"/>
    <w:rsid w:val="00E21F6A"/>
    <w:rsid w:val="00E30B22"/>
    <w:rsid w:val="00E3798A"/>
    <w:rsid w:val="00E43983"/>
    <w:rsid w:val="00E460F3"/>
    <w:rsid w:val="00E50177"/>
    <w:rsid w:val="00E5027B"/>
    <w:rsid w:val="00E5626A"/>
    <w:rsid w:val="00E772E5"/>
    <w:rsid w:val="00E82585"/>
    <w:rsid w:val="00EA0ABD"/>
    <w:rsid w:val="00EA46E7"/>
    <w:rsid w:val="00EB3C2A"/>
    <w:rsid w:val="00EB42BF"/>
    <w:rsid w:val="00EC2C40"/>
    <w:rsid w:val="00EC3E4C"/>
    <w:rsid w:val="00ED5E55"/>
    <w:rsid w:val="00EE6353"/>
    <w:rsid w:val="00EF17A2"/>
    <w:rsid w:val="00EF1962"/>
    <w:rsid w:val="00EF226B"/>
    <w:rsid w:val="00F00313"/>
    <w:rsid w:val="00F00937"/>
    <w:rsid w:val="00F1427E"/>
    <w:rsid w:val="00F22399"/>
    <w:rsid w:val="00F315C9"/>
    <w:rsid w:val="00F42E31"/>
    <w:rsid w:val="00F51E5E"/>
    <w:rsid w:val="00F64B32"/>
    <w:rsid w:val="00F70C4B"/>
    <w:rsid w:val="00F7418C"/>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E43983"/>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E43983"/>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E43983"/>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E43983"/>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E43983"/>
    <w:pPr>
      <w:tabs>
        <w:tab w:val="num" w:pos="1296"/>
      </w:tabs>
      <w:spacing w:before="240" w:after="60"/>
      <w:ind w:left="1296" w:hanging="1296"/>
      <w:outlineLvl w:val="6"/>
    </w:pPr>
  </w:style>
  <w:style w:type="paragraph" w:styleId="Ttulo8">
    <w:name w:val="heading 8"/>
    <w:basedOn w:val="Normal"/>
    <w:next w:val="Normal"/>
    <w:link w:val="Ttulo8Car"/>
    <w:qFormat/>
    <w:rsid w:val="00E43983"/>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E43983"/>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E43983"/>
    <w:rPr>
      <w:sz w:val="24"/>
      <w:szCs w:val="24"/>
      <w:lang w:val="es-ES" w:eastAsia="es-ES"/>
    </w:rPr>
  </w:style>
  <w:style w:type="paragraph" w:styleId="Prrafodelista">
    <w:name w:val="List Paragraph"/>
    <w:basedOn w:val="Normal"/>
    <w:uiPriority w:val="34"/>
    <w:qFormat/>
    <w:rsid w:val="00E43983"/>
    <w:pPr>
      <w:spacing w:before="60"/>
      <w:ind w:left="720"/>
      <w:contextualSpacing/>
      <w:jc w:val="both"/>
    </w:pPr>
    <w:rPr>
      <w:rFonts w:ascii="Calibri" w:hAnsi="Calibri"/>
      <w:sz w:val="22"/>
      <w:szCs w:val="22"/>
      <w:lang w:eastAsia="en-US" w:bidi="en-US"/>
    </w:rPr>
  </w:style>
  <w:style w:type="character" w:customStyle="1" w:styleId="Ttulo3Car">
    <w:name w:val="Título 3 Car"/>
    <w:link w:val="Ttulo3"/>
    <w:rsid w:val="00E43983"/>
    <w:rPr>
      <w:rFonts w:ascii="Calibri" w:hAnsi="Calibri" w:cs="Calibri"/>
      <w:b/>
      <w:bCs/>
      <w:sz w:val="22"/>
      <w:szCs w:val="22"/>
      <w:lang w:eastAsia="es-ES"/>
    </w:rPr>
  </w:style>
  <w:style w:type="character" w:customStyle="1" w:styleId="Ttulo4Car">
    <w:name w:val="Título 4 Car"/>
    <w:link w:val="Ttulo4"/>
    <w:rsid w:val="00E43983"/>
    <w:rPr>
      <w:rFonts w:ascii="Arial" w:hAnsi="Arial"/>
      <w:b/>
      <w:bCs/>
      <w:sz w:val="24"/>
      <w:szCs w:val="28"/>
      <w:lang w:val="es-ES" w:eastAsia="es-ES"/>
    </w:rPr>
  </w:style>
  <w:style w:type="character" w:customStyle="1" w:styleId="Ttulo5Car">
    <w:name w:val="Título 5 Car"/>
    <w:link w:val="Ttulo5"/>
    <w:rsid w:val="00E43983"/>
    <w:rPr>
      <w:rFonts w:ascii="Calibri" w:hAnsi="Calibri" w:cs="Calibri"/>
      <w:bCs/>
      <w:iCs/>
      <w:lang w:eastAsia="es-ES"/>
    </w:rPr>
  </w:style>
  <w:style w:type="character" w:customStyle="1" w:styleId="Ttulo6Car">
    <w:name w:val="Título 6 Car"/>
    <w:link w:val="Ttulo6"/>
    <w:rsid w:val="00E43983"/>
    <w:rPr>
      <w:b/>
      <w:bCs/>
      <w:sz w:val="22"/>
      <w:szCs w:val="22"/>
      <w:lang w:val="es-ES" w:eastAsia="es-ES"/>
    </w:rPr>
  </w:style>
  <w:style w:type="character" w:customStyle="1" w:styleId="Ttulo7Car">
    <w:name w:val="Título 7 Car"/>
    <w:link w:val="Ttulo7"/>
    <w:rsid w:val="00E43983"/>
    <w:rPr>
      <w:sz w:val="24"/>
      <w:szCs w:val="24"/>
      <w:lang w:val="es-ES" w:eastAsia="es-ES"/>
    </w:rPr>
  </w:style>
  <w:style w:type="character" w:customStyle="1" w:styleId="Ttulo8Car">
    <w:name w:val="Título 8 Car"/>
    <w:link w:val="Ttulo8"/>
    <w:rsid w:val="00E43983"/>
    <w:rPr>
      <w:i/>
      <w:iCs/>
      <w:sz w:val="24"/>
      <w:szCs w:val="24"/>
      <w:lang w:val="es-ES" w:eastAsia="es-ES"/>
    </w:rPr>
  </w:style>
  <w:style w:type="character" w:customStyle="1" w:styleId="Ttulo9Car">
    <w:name w:val="Título 9 Car"/>
    <w:link w:val="Ttulo9"/>
    <w:rsid w:val="00E43983"/>
    <w:rPr>
      <w:rFonts w:ascii="Arial" w:hAnsi="Arial"/>
      <w:sz w:val="22"/>
      <w:szCs w:val="22"/>
      <w:lang w:val="es-ES" w:eastAsia="es-ES"/>
    </w:rPr>
  </w:style>
  <w:style w:type="character" w:customStyle="1" w:styleId="Ttulo1Car">
    <w:name w:val="Título 1 Car"/>
    <w:link w:val="Ttulo1"/>
    <w:locked/>
    <w:rsid w:val="00E43983"/>
    <w:rPr>
      <w:rFonts w:cs="CG Palacio (WN)"/>
      <w:b/>
      <w:sz w:val="18"/>
      <w:szCs w:val="24"/>
      <w:lang w:val="es-ES" w:eastAsia="es-ES"/>
    </w:rPr>
  </w:style>
  <w:style w:type="character" w:customStyle="1" w:styleId="Ttulo2Car">
    <w:name w:val="Título 2 Car"/>
    <w:link w:val="Ttulo2"/>
    <w:locked/>
    <w:rsid w:val="00E43983"/>
    <w:rPr>
      <w:rFonts w:ascii="Arial" w:hAnsi="Arial" w:cs="Helv"/>
      <w:sz w:val="18"/>
      <w:lang w:val="es-ES_tradnl"/>
    </w:rPr>
  </w:style>
  <w:style w:type="paragraph" w:customStyle="1" w:styleId="texto0">
    <w:name w:val="texto"/>
    <w:basedOn w:val="Normal"/>
    <w:rsid w:val="00E43983"/>
    <w:pPr>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E43983"/>
    <w:pPr>
      <w:spacing w:before="100" w:after="100"/>
    </w:pPr>
    <w:rPr>
      <w:szCs w:val="20"/>
    </w:rPr>
  </w:style>
  <w:style w:type="paragraph" w:customStyle="1" w:styleId="Prrafodelista1">
    <w:name w:val="Párrafo de lista1"/>
    <w:basedOn w:val="Normal"/>
    <w:rsid w:val="00E43983"/>
    <w:pPr>
      <w:spacing w:after="200" w:line="276" w:lineRule="atLeast"/>
      <w:ind w:left="720"/>
    </w:pPr>
    <w:rPr>
      <w:rFonts w:ascii="Calibri" w:hAnsi="Calibri" w:cs="Calibri"/>
      <w:sz w:val="22"/>
      <w:szCs w:val="20"/>
      <w:lang w:val="es-MX"/>
    </w:rPr>
  </w:style>
  <w:style w:type="character" w:customStyle="1" w:styleId="EncabezadoCar">
    <w:name w:val="Encabezado Car"/>
    <w:link w:val="Encabezado"/>
    <w:locked/>
    <w:rsid w:val="00E43983"/>
    <w:rPr>
      <w:sz w:val="24"/>
      <w:szCs w:val="24"/>
      <w:lang w:val="es-ES" w:eastAsia="es-ES"/>
    </w:rPr>
  </w:style>
  <w:style w:type="paragraph" w:styleId="Textonotapie">
    <w:name w:val="footnote text"/>
    <w:basedOn w:val="Normal"/>
    <w:link w:val="TextonotapieCar"/>
    <w:uiPriority w:val="99"/>
    <w:rsid w:val="00E43983"/>
    <w:pPr>
      <w:spacing w:before="360" w:after="200"/>
    </w:pPr>
    <w:rPr>
      <w:rFonts w:ascii="Calibri" w:hAnsi="Calibri" w:cs="Calibri"/>
      <w:sz w:val="20"/>
      <w:szCs w:val="20"/>
      <w:lang w:val="es-AR"/>
    </w:rPr>
  </w:style>
  <w:style w:type="character" w:customStyle="1" w:styleId="TextonotapieCar">
    <w:name w:val="Texto nota pie Car"/>
    <w:link w:val="Textonotapie"/>
    <w:uiPriority w:val="99"/>
    <w:rsid w:val="00E43983"/>
    <w:rPr>
      <w:rFonts w:ascii="Calibri" w:hAnsi="Calibri" w:cs="Calibri"/>
      <w:lang w:val="es-AR" w:eastAsia="es-ES"/>
    </w:rPr>
  </w:style>
  <w:style w:type="paragraph" w:customStyle="1" w:styleId="Textonormal">
    <w:name w:val="Texto normal"/>
    <w:basedOn w:val="Normal"/>
    <w:rsid w:val="00E43983"/>
    <w:pPr>
      <w:jc w:val="both"/>
    </w:pPr>
    <w:rPr>
      <w:rFonts w:ascii="Arial" w:hAnsi="Arial" w:cs="Arial"/>
      <w:sz w:val="22"/>
      <w:szCs w:val="20"/>
    </w:rPr>
  </w:style>
  <w:style w:type="paragraph" w:styleId="Sangradetextonormal">
    <w:name w:val="Body Text Indent"/>
    <w:basedOn w:val="Normal"/>
    <w:link w:val="SangradetextonormalCar"/>
    <w:rsid w:val="00E43983"/>
    <w:pPr>
      <w:spacing w:before="360" w:after="200"/>
      <w:ind w:firstLine="708"/>
      <w:jc w:val="both"/>
    </w:pPr>
    <w:rPr>
      <w:rFonts w:ascii="Arial" w:hAnsi="Arial" w:cs="Arial"/>
      <w:sz w:val="22"/>
      <w:szCs w:val="20"/>
      <w:lang w:val="es-AR"/>
    </w:rPr>
  </w:style>
  <w:style w:type="character" w:customStyle="1" w:styleId="SangradetextonormalCar">
    <w:name w:val="Sangría de texto normal Car"/>
    <w:link w:val="Sangradetextonormal"/>
    <w:rsid w:val="00E43983"/>
    <w:rPr>
      <w:rFonts w:ascii="Arial" w:hAnsi="Arial" w:cs="Arial"/>
      <w:sz w:val="22"/>
      <w:lang w:val="es-AR" w:eastAsia="es-ES"/>
    </w:rPr>
  </w:style>
  <w:style w:type="paragraph" w:customStyle="1" w:styleId="arial">
    <w:name w:val="arial"/>
    <w:basedOn w:val="Normal"/>
    <w:rsid w:val="00E43983"/>
    <w:rPr>
      <w:b/>
      <w:szCs w:val="20"/>
    </w:rPr>
  </w:style>
  <w:style w:type="paragraph" w:customStyle="1" w:styleId="Modelo1">
    <w:name w:val="Modelo 1"/>
    <w:basedOn w:val="Normal"/>
    <w:rsid w:val="00E43983"/>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E43983"/>
    <w:pPr>
      <w:shd w:val="clear" w:color="auto" w:fill="000080"/>
    </w:pPr>
    <w:rPr>
      <w:rFonts w:ascii="Tahoma" w:hAnsi="Tahoma" w:cs="Tahoma"/>
      <w:sz w:val="20"/>
      <w:szCs w:val="20"/>
    </w:rPr>
  </w:style>
  <w:style w:type="character" w:customStyle="1" w:styleId="MapadeldocumentoCar">
    <w:name w:val="Mapa del documento Car"/>
    <w:link w:val="Mapadeldocumento"/>
    <w:rsid w:val="00E43983"/>
    <w:rPr>
      <w:rFonts w:ascii="Tahoma" w:hAnsi="Tahoma" w:cs="Tahoma"/>
      <w:shd w:val="clear" w:color="auto" w:fill="000080"/>
      <w:lang w:val="es-ES" w:eastAsia="es-ES"/>
    </w:rPr>
  </w:style>
  <w:style w:type="table" w:styleId="Tablaconcuadrcula">
    <w:name w:val="Table Grid"/>
    <w:basedOn w:val="Tablanormal"/>
    <w:uiPriority w:val="59"/>
    <w:rsid w:val="00E4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E43983"/>
    <w:rPr>
      <w:vertAlign w:val="superscript"/>
    </w:rPr>
  </w:style>
  <w:style w:type="paragraph" w:styleId="Textodeglobo">
    <w:name w:val="Balloon Text"/>
    <w:basedOn w:val="Normal"/>
    <w:link w:val="TextodegloboCar"/>
    <w:rsid w:val="00E43983"/>
    <w:rPr>
      <w:rFonts w:ascii="Tahoma" w:hAnsi="Tahoma" w:cs="Tahoma"/>
      <w:sz w:val="16"/>
      <w:szCs w:val="16"/>
    </w:rPr>
  </w:style>
  <w:style w:type="character" w:customStyle="1" w:styleId="TextodegloboCar">
    <w:name w:val="Texto de globo Car"/>
    <w:link w:val="Textodeglobo"/>
    <w:rsid w:val="00E43983"/>
    <w:rPr>
      <w:rFonts w:ascii="Tahoma" w:hAnsi="Tahoma" w:cs="Tahoma"/>
      <w:sz w:val="16"/>
      <w:szCs w:val="16"/>
      <w:lang w:val="es-ES" w:eastAsia="es-ES"/>
    </w:rPr>
  </w:style>
  <w:style w:type="character" w:customStyle="1" w:styleId="apartados">
    <w:name w:val="apartados"/>
    <w:rsid w:val="00E43983"/>
    <w:rPr>
      <w:rFonts w:ascii="Maiandra GD" w:hAnsi="Maiandra GD"/>
      <w:b/>
      <w:sz w:val="24"/>
    </w:rPr>
  </w:style>
  <w:style w:type="character" w:styleId="Hipervnculo">
    <w:name w:val="Hyperlink"/>
    <w:rsid w:val="00E43983"/>
    <w:rPr>
      <w:rFonts w:cs="Times New Roman"/>
      <w:color w:val="0000FF"/>
      <w:u w:val="single"/>
    </w:rPr>
  </w:style>
  <w:style w:type="paragraph" w:customStyle="1" w:styleId="EstiloTtulo1Verdana">
    <w:name w:val="Estilo Título 1 + Verdana"/>
    <w:basedOn w:val="Ttulo1"/>
    <w:rsid w:val="00E43983"/>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E43983"/>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E43983"/>
    <w:rPr>
      <w:rFonts w:ascii="Verdana" w:hAnsi="Verdana"/>
      <w:sz w:val="20"/>
      <w:szCs w:val="20"/>
    </w:rPr>
  </w:style>
  <w:style w:type="character" w:customStyle="1" w:styleId="TextocomentarioCar">
    <w:name w:val="Texto comentario Car"/>
    <w:link w:val="Textocomentario"/>
    <w:rsid w:val="00E43983"/>
    <w:rPr>
      <w:rFonts w:ascii="Verdana" w:hAnsi="Verdana"/>
      <w:lang w:val="es-ES" w:eastAsia="es-ES"/>
    </w:rPr>
  </w:style>
  <w:style w:type="paragraph" w:styleId="Asuntodelcomentario">
    <w:name w:val="annotation subject"/>
    <w:basedOn w:val="Textocomentario"/>
    <w:next w:val="Textocomentario"/>
    <w:link w:val="AsuntodelcomentarioCar"/>
    <w:rsid w:val="00E43983"/>
    <w:rPr>
      <w:b/>
      <w:bCs/>
    </w:rPr>
  </w:style>
  <w:style w:type="character" w:customStyle="1" w:styleId="AsuntodelcomentarioCar">
    <w:name w:val="Asunto del comentario Car"/>
    <w:link w:val="Asuntodelcomentario"/>
    <w:rsid w:val="00E43983"/>
    <w:rPr>
      <w:rFonts w:ascii="Verdana" w:hAnsi="Verdana"/>
      <w:b/>
      <w:bCs/>
      <w:lang w:val="es-ES" w:eastAsia="es-ES"/>
    </w:rPr>
  </w:style>
  <w:style w:type="character" w:styleId="Hipervnculovisitado">
    <w:name w:val="FollowedHyperlink"/>
    <w:rsid w:val="00E43983"/>
    <w:rPr>
      <w:rFonts w:cs="Times New Roman"/>
      <w:color w:val="800080"/>
      <w:u w:val="single"/>
    </w:rPr>
  </w:style>
  <w:style w:type="paragraph" w:customStyle="1" w:styleId="font5">
    <w:name w:val="font5"/>
    <w:basedOn w:val="Normal"/>
    <w:rsid w:val="00E4398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4398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E43983"/>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E43983"/>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fasis">
    <w:name w:val="Emphasis"/>
    <w:qFormat/>
    <w:rsid w:val="00E43983"/>
    <w:rPr>
      <w:rFonts w:cs="Times New Roman"/>
      <w:i/>
    </w:rPr>
  </w:style>
  <w:style w:type="paragraph" w:styleId="Subttulo">
    <w:name w:val="Subtitle"/>
    <w:basedOn w:val="Normal"/>
    <w:next w:val="Normal"/>
    <w:link w:val="SubttuloCar"/>
    <w:qFormat/>
    <w:rsid w:val="00E43983"/>
    <w:pPr>
      <w:spacing w:after="60"/>
      <w:jc w:val="center"/>
      <w:outlineLvl w:val="1"/>
    </w:pPr>
    <w:rPr>
      <w:rFonts w:ascii="Cambria" w:hAnsi="Cambria"/>
    </w:rPr>
  </w:style>
  <w:style w:type="character" w:customStyle="1" w:styleId="SubttuloCar">
    <w:name w:val="Subtítulo Car"/>
    <w:link w:val="Subttulo"/>
    <w:rsid w:val="00E43983"/>
    <w:rPr>
      <w:rFonts w:ascii="Cambria" w:hAnsi="Cambria"/>
      <w:sz w:val="24"/>
      <w:szCs w:val="24"/>
      <w:lang w:val="es-ES" w:eastAsia="es-ES"/>
    </w:rPr>
  </w:style>
  <w:style w:type="character" w:styleId="Textoennegrita">
    <w:name w:val="Strong"/>
    <w:qFormat/>
    <w:rsid w:val="00E43983"/>
    <w:rPr>
      <w:rFonts w:cs="Times New Roman"/>
      <w:b/>
    </w:rPr>
  </w:style>
  <w:style w:type="paragraph" w:styleId="Ttulo">
    <w:name w:val="Title"/>
    <w:basedOn w:val="Normal"/>
    <w:next w:val="Normal"/>
    <w:link w:val="TtuloCar"/>
    <w:qFormat/>
    <w:rsid w:val="00E43983"/>
    <w:pPr>
      <w:spacing w:before="240" w:after="60"/>
      <w:jc w:val="center"/>
      <w:outlineLvl w:val="0"/>
    </w:pPr>
    <w:rPr>
      <w:rFonts w:ascii="Cambria" w:hAnsi="Cambria"/>
      <w:b/>
      <w:bCs/>
      <w:kern w:val="28"/>
      <w:sz w:val="32"/>
      <w:szCs w:val="32"/>
    </w:rPr>
  </w:style>
  <w:style w:type="character" w:customStyle="1" w:styleId="TtuloCar">
    <w:name w:val="Título Car"/>
    <w:link w:val="Ttulo"/>
    <w:rsid w:val="00E43983"/>
    <w:rPr>
      <w:rFonts w:ascii="Cambria" w:hAnsi="Cambria"/>
      <w:b/>
      <w:bCs/>
      <w:kern w:val="28"/>
      <w:sz w:val="32"/>
      <w:szCs w:val="32"/>
      <w:lang w:val="es-ES" w:eastAsia="es-ES"/>
    </w:rPr>
  </w:style>
  <w:style w:type="paragraph" w:customStyle="1" w:styleId="rom">
    <w:name w:val="rom"/>
    <w:basedOn w:val="Texto"/>
    <w:rsid w:val="00E43983"/>
    <w:pPr>
      <w:ind w:left="1080" w:hanging="792"/>
    </w:pPr>
    <w:rPr>
      <w:b/>
    </w:rPr>
  </w:style>
  <w:style w:type="paragraph" w:customStyle="1" w:styleId="Sumario">
    <w:name w:val="Sumario"/>
    <w:basedOn w:val="Normal"/>
    <w:rsid w:val="00E4398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43983"/>
    <w:pPr>
      <w:tabs>
        <w:tab w:val="right" w:leader="dot" w:pos="8100"/>
        <w:tab w:val="right" w:pos="8640"/>
      </w:tabs>
      <w:spacing w:line="334" w:lineRule="exact"/>
      <w:ind w:left="274" w:right="749"/>
      <w:jc w:val="both"/>
    </w:pPr>
    <w:rPr>
      <w:b/>
      <w:sz w:val="20"/>
      <w:szCs w:val="20"/>
      <w:u w:val="single"/>
      <w:lang w:val="es-ES_tradnl"/>
    </w:rPr>
  </w:style>
  <w:style w:type="paragraph" w:styleId="Textonotaalfinal">
    <w:name w:val="endnote text"/>
    <w:basedOn w:val="Normal"/>
    <w:link w:val="TextonotaalfinalCar"/>
    <w:rsid w:val="00E43983"/>
    <w:rPr>
      <w:sz w:val="20"/>
      <w:szCs w:val="20"/>
    </w:rPr>
  </w:style>
  <w:style w:type="character" w:customStyle="1" w:styleId="TextonotaalfinalCar">
    <w:name w:val="Texto nota al final Car"/>
    <w:link w:val="Textonotaalfinal"/>
    <w:rsid w:val="00E43983"/>
    <w:rPr>
      <w:lang w:val="es-ES" w:eastAsia="es-ES"/>
    </w:rPr>
  </w:style>
  <w:style w:type="character" w:styleId="Refdenotaalfinal">
    <w:name w:val="endnote reference"/>
    <w:rsid w:val="00E43983"/>
    <w:rPr>
      <w:vertAlign w:val="superscript"/>
    </w:rPr>
  </w:style>
  <w:style w:type="character" w:styleId="Refdecomentario">
    <w:name w:val="annotation reference"/>
    <w:rsid w:val="00E43983"/>
    <w:rPr>
      <w:sz w:val="16"/>
      <w:szCs w:val="16"/>
    </w:rPr>
  </w:style>
  <w:style w:type="paragraph" w:styleId="Revisin">
    <w:name w:val="Revision"/>
    <w:hidden/>
    <w:uiPriority w:val="99"/>
    <w:semiHidden/>
    <w:rsid w:val="00E43983"/>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3</Pages>
  <Words>1230</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2014-10-03T20:52:00Z</cp:lastPrinted>
  <dcterms:created xsi:type="dcterms:W3CDTF">2014-10-06T15:05:00Z</dcterms:created>
  <dcterms:modified xsi:type="dcterms:W3CDTF">2014-10-06T15:05:00Z</dcterms:modified>
</cp:coreProperties>
</file>